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F2C25" w14:textId="1128418E" w:rsidR="00992A0C" w:rsidRPr="00702800" w:rsidRDefault="00992A0C" w:rsidP="00992A0C">
      <w:pPr>
        <w:pStyle w:val="Header"/>
        <w:tabs>
          <w:tab w:val="center" w:pos="4536"/>
          <w:tab w:val="right" w:pos="9356"/>
          <w:tab w:val="right" w:pos="9781"/>
        </w:tabs>
        <w:ind w:right="-58"/>
        <w:rPr>
          <w:rFonts w:cs="Arial"/>
          <w:bCs/>
          <w:sz w:val="24"/>
          <w:szCs w:val="24"/>
          <w:lang w:val="en-US" w:eastAsia="zh-TW"/>
        </w:rPr>
      </w:pPr>
      <w:bookmarkStart w:id="0" w:name="OLE_LINK120"/>
      <w:bookmarkStart w:id="1" w:name="OLE_LINK747"/>
      <w:r w:rsidRPr="00702800">
        <w:rPr>
          <w:rFonts w:eastAsia="MS Mincho" w:cs="Arial"/>
          <w:bCs/>
          <w:sz w:val="24"/>
          <w:szCs w:val="24"/>
          <w:lang w:val="en-US"/>
        </w:rPr>
        <w:t>3</w:t>
      </w:r>
      <w:bookmarkStart w:id="2" w:name="OLE_LINK119"/>
      <w:r w:rsidRPr="00702800">
        <w:rPr>
          <w:rFonts w:eastAsia="MS Mincho" w:cs="Arial"/>
          <w:bCs/>
          <w:sz w:val="24"/>
          <w:szCs w:val="24"/>
          <w:lang w:val="en-US"/>
        </w:rPr>
        <w:t xml:space="preserve">GPP TSG </w:t>
      </w:r>
      <w:bookmarkEnd w:id="0"/>
      <w:bookmarkEnd w:id="2"/>
      <w:r w:rsidRPr="00702800">
        <w:rPr>
          <w:rFonts w:eastAsia="MS Mincho" w:cs="Arial"/>
          <w:bCs/>
          <w:sz w:val="24"/>
          <w:szCs w:val="24"/>
          <w:lang w:val="en-US"/>
        </w:rPr>
        <w:t>RAN WG1 #11</w:t>
      </w:r>
      <w:bookmarkEnd w:id="1"/>
      <w:r>
        <w:rPr>
          <w:rFonts w:eastAsia="MS Mincho" w:cs="Arial"/>
          <w:bCs/>
          <w:sz w:val="24"/>
          <w:szCs w:val="24"/>
          <w:lang w:val="en-US"/>
        </w:rPr>
        <w:t>2</w:t>
      </w:r>
      <w:r w:rsidRPr="00702800">
        <w:rPr>
          <w:rFonts w:eastAsia="MS Mincho" w:cs="Arial"/>
          <w:bCs/>
          <w:sz w:val="24"/>
          <w:szCs w:val="24"/>
          <w:lang w:val="en-US"/>
        </w:rPr>
        <w:t xml:space="preserve">             </w:t>
      </w:r>
      <w:r w:rsidRPr="00702800">
        <w:rPr>
          <w:rFonts w:cs="Arial" w:hint="eastAsia"/>
          <w:bCs/>
          <w:sz w:val="24"/>
          <w:szCs w:val="24"/>
          <w:lang w:val="en-US" w:eastAsia="zh-TW"/>
        </w:rPr>
        <w:t xml:space="preserve"> </w:t>
      </w:r>
      <w:r>
        <w:rPr>
          <w:rFonts w:cs="Arial"/>
          <w:bCs/>
          <w:sz w:val="24"/>
          <w:szCs w:val="24"/>
          <w:lang w:val="en-US" w:eastAsia="zh-TW"/>
        </w:rPr>
        <w:tab/>
      </w:r>
      <w:r w:rsidRPr="00702800">
        <w:rPr>
          <w:rFonts w:cs="Arial" w:hint="eastAsia"/>
          <w:bCs/>
          <w:sz w:val="24"/>
          <w:szCs w:val="24"/>
          <w:lang w:val="en-US" w:eastAsia="zh-TW"/>
        </w:rPr>
        <w:tab/>
      </w:r>
      <w:r w:rsidRPr="00702800">
        <w:rPr>
          <w:rFonts w:cs="Arial"/>
          <w:bCs/>
          <w:sz w:val="24"/>
          <w:szCs w:val="24"/>
          <w:lang w:val="en-US" w:eastAsia="zh-TW"/>
        </w:rPr>
        <w:t xml:space="preserve"> </w:t>
      </w:r>
      <w:r w:rsidR="009D0899" w:rsidRPr="009D0899">
        <w:rPr>
          <w:rFonts w:eastAsia="MS Mincho" w:cs="Arial"/>
          <w:bCs/>
          <w:sz w:val="24"/>
          <w:szCs w:val="24"/>
          <w:lang w:val="en-US"/>
        </w:rPr>
        <w:t>R1-2301780</w:t>
      </w:r>
    </w:p>
    <w:p w14:paraId="36ED42B6" w14:textId="77777777" w:rsidR="00992A0C" w:rsidRPr="00A237CB" w:rsidRDefault="00992A0C" w:rsidP="00992A0C">
      <w:pPr>
        <w:spacing w:after="60"/>
        <w:ind w:left="1985" w:hanging="1985"/>
        <w:rPr>
          <w:rFonts w:ascii="Arial" w:hAnsi="Arial" w:cs="Arial"/>
          <w:b/>
          <w:lang w:val="en-GB"/>
        </w:rPr>
      </w:pPr>
      <w:r w:rsidRPr="004879BF">
        <w:rPr>
          <w:rFonts w:ascii="Arial" w:eastAsia="MS Mincho" w:hAnsi="Arial" w:cs="Arial"/>
          <w:b/>
          <w:bCs/>
          <w:sz w:val="24"/>
          <w:szCs w:val="24"/>
          <w:lang w:val="en-GB" w:eastAsia="ja-JP"/>
        </w:rPr>
        <w:t>Athens, Greece, February 27</w:t>
      </w:r>
      <w:r w:rsidRPr="00145E42">
        <w:rPr>
          <w:rFonts w:ascii="Arial" w:eastAsia="MS Mincho" w:hAnsi="Arial" w:cs="Arial"/>
          <w:b/>
          <w:bCs/>
          <w:sz w:val="24"/>
          <w:szCs w:val="24"/>
          <w:vertAlign w:val="superscript"/>
          <w:lang w:val="en-GB" w:eastAsia="ja-JP"/>
        </w:rPr>
        <w:t>th</w:t>
      </w:r>
      <w:r w:rsidRPr="004879BF">
        <w:rPr>
          <w:rFonts w:ascii="Arial" w:eastAsia="MS Mincho" w:hAnsi="Arial" w:cs="Arial"/>
          <w:b/>
          <w:bCs/>
          <w:sz w:val="24"/>
          <w:szCs w:val="24"/>
          <w:lang w:val="en-GB" w:eastAsia="ja-JP"/>
        </w:rPr>
        <w:t xml:space="preserve"> – March 3</w:t>
      </w:r>
      <w:r w:rsidRPr="00145E42">
        <w:rPr>
          <w:rFonts w:ascii="Arial" w:eastAsia="MS Mincho" w:hAnsi="Arial" w:cs="Arial"/>
          <w:b/>
          <w:bCs/>
          <w:sz w:val="24"/>
          <w:szCs w:val="24"/>
          <w:vertAlign w:val="superscript"/>
          <w:lang w:val="en-GB" w:eastAsia="ja-JP"/>
        </w:rPr>
        <w:t>rd</w:t>
      </w:r>
      <w:r w:rsidRPr="004879BF">
        <w:rPr>
          <w:rFonts w:ascii="Arial" w:eastAsia="MS Mincho" w:hAnsi="Arial" w:cs="Arial"/>
          <w:b/>
          <w:bCs/>
          <w:sz w:val="24"/>
          <w:szCs w:val="24"/>
          <w:lang w:val="en-GB" w:eastAsia="ja-JP"/>
        </w:rPr>
        <w:t>, 2023</w:t>
      </w:r>
    </w:p>
    <w:p w14:paraId="47250D98" w14:textId="77777777" w:rsidR="00992A0C" w:rsidRDefault="00992A0C" w:rsidP="00992A0C">
      <w:pPr>
        <w:spacing w:after="60"/>
        <w:ind w:left="1985" w:hanging="1985"/>
        <w:rPr>
          <w:rFonts w:ascii="Arial" w:hAnsi="Arial" w:cs="Arial"/>
          <w:b/>
        </w:rPr>
      </w:pPr>
    </w:p>
    <w:p w14:paraId="73875303"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t>9.10.1</w:t>
      </w:r>
    </w:p>
    <w:p w14:paraId="29888F48"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t>Discussion on XR capacity enhancements</w:t>
      </w:r>
    </w:p>
    <w:p w14:paraId="76ED73ED"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E8542D6"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12C4FC9F" w14:textId="5F4B5723" w:rsidR="00992A0C" w:rsidRDefault="00992A0C" w:rsidP="00992A0C">
      <w:pPr>
        <w:jc w:val="both"/>
      </w:pPr>
      <w:bookmarkStart w:id="3" w:name="_Hlk101186498"/>
      <w:r>
        <w:t xml:space="preserve">In RAN#98, </w:t>
      </w:r>
      <w:bookmarkStart w:id="4" w:name="OLE_LINK817"/>
      <w:r>
        <w:t>the following WI objectives were agreed for XR enhancements related to capacity [1]:</w:t>
      </w:r>
    </w:p>
    <w:tbl>
      <w:tblPr>
        <w:tblStyle w:val="TableGrid"/>
        <w:tblW w:w="0" w:type="auto"/>
        <w:tblLook w:val="04A0" w:firstRow="1" w:lastRow="0" w:firstColumn="1" w:lastColumn="0" w:noHBand="0" w:noVBand="1"/>
      </w:tblPr>
      <w:tblGrid>
        <w:gridCol w:w="9350"/>
      </w:tblGrid>
      <w:tr w:rsidR="00992A0C" w:rsidRPr="00055AFF" w14:paraId="59F741F4" w14:textId="77777777" w:rsidTr="00CB0709">
        <w:tc>
          <w:tcPr>
            <w:tcW w:w="9350" w:type="dxa"/>
          </w:tcPr>
          <w:bookmarkEnd w:id="4"/>
          <w:p w14:paraId="2A1C272C" w14:textId="77777777" w:rsidR="00992A0C" w:rsidRPr="00055AFF" w:rsidRDefault="00992A0C" w:rsidP="00CB0709">
            <w:pPr>
              <w:overflowPunct w:val="0"/>
              <w:autoSpaceDE w:val="0"/>
              <w:autoSpaceDN w:val="0"/>
              <w:adjustRightInd w:val="0"/>
              <w:rPr>
                <w:rFonts w:eastAsia="Times New Roman"/>
                <w:lang w:val="en-GB" w:eastAsia="en-GB"/>
              </w:rPr>
            </w:pPr>
            <w:r w:rsidRPr="00055AFF">
              <w:rPr>
                <w:rFonts w:eastAsia="Times New Roman"/>
                <w:lang w:val="en-GB" w:eastAsia="en-GB"/>
              </w:rPr>
              <w:t>Specify the enhancements related to capacity:</w:t>
            </w:r>
          </w:p>
          <w:p w14:paraId="15177A6F"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r>
            <w:r w:rsidRPr="00055AFF">
              <w:rPr>
                <w:highlight w:val="yellow"/>
                <w:lang w:val="en-GB" w:eastAsia="en-GB"/>
              </w:rPr>
              <w:t>Multiple CG PUSCH transmission occasions in a period of a single CG PUSCH configuration (RAN1, RAN2);</w:t>
            </w:r>
            <w:r w:rsidRPr="00055AFF">
              <w:rPr>
                <w:lang w:val="en-GB" w:eastAsia="en-GB"/>
              </w:rPr>
              <w:t xml:space="preserve">  </w:t>
            </w:r>
          </w:p>
          <w:p w14:paraId="40C0B7AF"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r>
            <w:r w:rsidRPr="00055AFF">
              <w:rPr>
                <w:highlight w:val="yellow"/>
                <w:lang w:val="en-GB" w:eastAsia="en-GB"/>
              </w:rPr>
              <w:t>Dynamic indication of unused CG PUSCH occasion(s) based on UCI by the UE (RAN1);</w:t>
            </w:r>
          </w:p>
          <w:p w14:paraId="3C5399BA"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t>BSR enhancements including at least new BS Table(s); (RAN2);</w:t>
            </w:r>
          </w:p>
          <w:p w14:paraId="6E3D56A6"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t>Delay reporting of buffered data in uplink; (RAN2);</w:t>
            </w:r>
          </w:p>
          <w:p w14:paraId="42321597" w14:textId="77777777" w:rsidR="00992A0C" w:rsidRPr="00055AFF" w:rsidRDefault="00992A0C" w:rsidP="00CB0709">
            <w:pPr>
              <w:overflowPunct w:val="0"/>
              <w:autoSpaceDE w:val="0"/>
              <w:autoSpaceDN w:val="0"/>
              <w:adjustRightInd w:val="0"/>
              <w:ind w:left="851" w:hanging="284"/>
              <w:rPr>
                <w:lang w:val="en-GB" w:eastAsia="en-GB"/>
              </w:rPr>
            </w:pPr>
            <w:r w:rsidRPr="00055AFF">
              <w:rPr>
                <w:lang w:val="en-GB" w:eastAsia="en-GB"/>
              </w:rPr>
              <w:t>-</w:t>
            </w:r>
            <w:r w:rsidRPr="00055AFF">
              <w:rPr>
                <w:lang w:val="en-GB" w:eastAsia="en-GB"/>
              </w:rPr>
              <w:tab/>
              <w:t>Provision of XR traffic assistance information for DL and UL (e.g. periodicity); (RAN2);</w:t>
            </w:r>
          </w:p>
          <w:p w14:paraId="1673224B" w14:textId="77777777" w:rsidR="00992A0C" w:rsidRPr="00055AFF" w:rsidRDefault="00992A0C" w:rsidP="00CB0709">
            <w:pPr>
              <w:jc w:val="both"/>
            </w:pPr>
            <w:r w:rsidRPr="00055AFF">
              <w:rPr>
                <w:rFonts w:eastAsia="Times New Roman"/>
                <w:lang w:val="en-GB" w:eastAsia="en-GB"/>
              </w:rPr>
              <w:t>-</w:t>
            </w:r>
            <w:r w:rsidRPr="00055AFF">
              <w:rPr>
                <w:rFonts w:eastAsia="Times New Roman"/>
                <w:lang w:val="en-GB" w:eastAsia="en-GB"/>
              </w:rPr>
              <w:tab/>
              <w:t>Discard operation of PDU Sets (RAN2);</w:t>
            </w:r>
          </w:p>
        </w:tc>
      </w:tr>
    </w:tbl>
    <w:p w14:paraId="7DAA1C02" w14:textId="77777777" w:rsidR="00992A0C" w:rsidRPr="00055AFF" w:rsidRDefault="00992A0C" w:rsidP="00992A0C">
      <w:pPr>
        <w:jc w:val="both"/>
      </w:pPr>
    </w:p>
    <w:p w14:paraId="3A24A02F" w14:textId="00D64FA6" w:rsidR="00461B7D" w:rsidRPr="00055AFF" w:rsidRDefault="00992A0C" w:rsidP="00992A0C">
      <w:pPr>
        <w:spacing w:after="160" w:line="256" w:lineRule="auto"/>
      </w:pPr>
      <w:r w:rsidRPr="00055AFF">
        <w:t>In this contribution, we discuss the details for these XR specific capacity improvement enhancements</w:t>
      </w:r>
      <w:bookmarkEnd w:id="3"/>
      <w:r w:rsidRPr="00055AFF">
        <w:t>.</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580099F6" w14:textId="7E5EB195" w:rsidR="00992A0C" w:rsidRDefault="00992A0C" w:rsidP="00992A0C">
      <w:pPr>
        <w:jc w:val="both"/>
      </w:pPr>
      <w:r>
        <w:t xml:space="preserve">The scope for Re-18 XR enhancements include the introduction of multiple transmission occasions and dynamic indication of unused occasions based on the UCI information reported by UE. </w:t>
      </w:r>
    </w:p>
    <w:p w14:paraId="2A1F65D5" w14:textId="6E669544" w:rsidR="00992A0C" w:rsidRDefault="00992A0C" w:rsidP="00992A0C">
      <w:pPr>
        <w:jc w:val="both"/>
      </w:pPr>
      <w:r>
        <w:t>Uplink XR traffic model includes pose/control information and UL video data. From TR 38.838 [2], the latter has a baseline data rate of 10 Mbps (and 2</w:t>
      </w:r>
      <w:r w:rsidR="000B1D44">
        <w:t xml:space="preserve">0 </w:t>
      </w:r>
      <w:r>
        <w:t xml:space="preserve">Mbps </w:t>
      </w:r>
      <w:r w:rsidR="00A030DF">
        <w:t xml:space="preserve">as </w:t>
      </w:r>
      <w:r>
        <w:t>optiona</w:t>
      </w:r>
      <w:r w:rsidR="002037C6">
        <w:t>l</w:t>
      </w:r>
      <w:r>
        <w:t xml:space="preserve">) and its packet size varies based on truncated Gaussian distribution [2]. Configured grant (CG) based on uplink transmissions are useful for low-latency traffic, hence Rel-16 CG design can be useful for uplink XR video traffic. However, Rel-16 CG mechanism is not optimized for large and varying packet sizes. Since XR may require large number of RB allocation in uplink due to high reliability and large packet size characteristics, the system spectrum efficiency needs to be optimized to support XR services for many users in a single cell. </w:t>
      </w:r>
    </w:p>
    <w:p w14:paraId="3A46FA18" w14:textId="11CFA41B" w:rsidR="00992A0C" w:rsidRPr="00992A0C" w:rsidRDefault="00992A0C" w:rsidP="00992A0C">
      <w:pPr>
        <w:jc w:val="both"/>
      </w:pPr>
      <w:r>
        <w:t xml:space="preserve">Hence, support for multiple transmission occasions can help optimize the required number of RBs per UL packet by avoiding over-allocation. Depending on the UL packet size, a user may require either one or two or more than two PUSCH occasions per CG period. </w:t>
      </w:r>
    </w:p>
    <w:p w14:paraId="4FF545FB" w14:textId="642F6D3D" w:rsidR="00992A0C" w:rsidRPr="00BD2CC5" w:rsidRDefault="00992A0C" w:rsidP="00992A0C">
      <w:pPr>
        <w:jc w:val="both"/>
        <w:rPr>
          <w:bCs/>
          <w:i/>
          <w:iCs/>
        </w:rPr>
      </w:pPr>
      <w:r>
        <w:rPr>
          <w:b/>
          <w:i/>
          <w:iCs/>
        </w:rPr>
        <w:t>Observation 1</w:t>
      </w:r>
      <w:r w:rsidRPr="0093035F">
        <w:rPr>
          <w:b/>
          <w:i/>
          <w:iCs/>
        </w:rPr>
        <w:t xml:space="preserve">: </w:t>
      </w:r>
      <w:r>
        <w:rPr>
          <w:bCs/>
          <w:i/>
          <w:iCs/>
        </w:rPr>
        <w:t xml:space="preserve">XR UL video traffic characteristics based on large and varying packet size and strict latency requirements are </w:t>
      </w:r>
      <w:r w:rsidR="001B2DD9">
        <w:rPr>
          <w:bCs/>
          <w:i/>
          <w:iCs/>
        </w:rPr>
        <w:t>main</w:t>
      </w:r>
      <w:r>
        <w:rPr>
          <w:bCs/>
          <w:i/>
          <w:iCs/>
        </w:rPr>
        <w:t xml:space="preserve"> reasons </w:t>
      </w:r>
      <w:r w:rsidR="00DE2529">
        <w:rPr>
          <w:bCs/>
          <w:i/>
          <w:iCs/>
        </w:rPr>
        <w:t>for</w:t>
      </w:r>
      <w:r>
        <w:rPr>
          <w:bCs/>
          <w:i/>
          <w:iCs/>
        </w:rPr>
        <w:t xml:space="preserve"> the configured grant enhancement objectives for capacity.</w:t>
      </w:r>
    </w:p>
    <w:p w14:paraId="169E2F28" w14:textId="77777777" w:rsidR="00FB426F" w:rsidRDefault="00FB426F" w:rsidP="0015676A">
      <w:pPr>
        <w:spacing w:after="0"/>
        <w:jc w:val="both"/>
        <w:rPr>
          <w:color w:val="000000"/>
        </w:rPr>
      </w:pPr>
    </w:p>
    <w:p w14:paraId="681BC4CC" w14:textId="77777777" w:rsidR="00992A0C" w:rsidRDefault="00992A0C" w:rsidP="00992A0C">
      <w:pPr>
        <w:pStyle w:val="Heading1"/>
        <w:numPr>
          <w:ilvl w:val="0"/>
          <w:numId w:val="46"/>
        </w:numPr>
        <w:jc w:val="both"/>
        <w:rPr>
          <w:lang w:eastAsia="zh-TW"/>
        </w:rPr>
      </w:pPr>
      <w:r>
        <w:rPr>
          <w:lang w:eastAsia="zh-TW"/>
        </w:rPr>
        <w:t>Configured Grant (CG) enhancements</w:t>
      </w:r>
    </w:p>
    <w:p w14:paraId="69B54CC5" w14:textId="75FA66D7" w:rsidR="00992A0C" w:rsidRDefault="00992A0C" w:rsidP="00992A0C">
      <w:pPr>
        <w:jc w:val="both"/>
      </w:pPr>
      <w:r>
        <w:t xml:space="preserve">The support for multiple PUSCH occasions and dynamic indication of unused occasions should ensure that the intended motivation for these enhancements are fulfilled with minimum required specification efforts. In addition, these new enhancements should not impact the overall reliability and latency performance of existing Rel-16 CG mechanism. </w:t>
      </w:r>
    </w:p>
    <w:p w14:paraId="6B4F073E" w14:textId="77777777" w:rsidR="00992A0C" w:rsidRDefault="00992A0C" w:rsidP="00992A0C">
      <w:pPr>
        <w:jc w:val="both"/>
      </w:pPr>
      <w:r>
        <w:lastRenderedPageBreak/>
        <w:t xml:space="preserve">As for the necessary design and mechanism details for the objectives, we can consider the following aspects: resource configuration details, UCI format and indication, HARQ process ID determination, and any periodicity (mis)-alignment issues. </w:t>
      </w:r>
    </w:p>
    <w:p w14:paraId="10811442" w14:textId="77777777" w:rsidR="00992A0C" w:rsidRPr="009A4D01" w:rsidRDefault="00992A0C" w:rsidP="00992A0C">
      <w:pPr>
        <w:pStyle w:val="Heading2"/>
        <w:numPr>
          <w:ilvl w:val="1"/>
          <w:numId w:val="46"/>
        </w:numPr>
        <w:tabs>
          <w:tab w:val="num" w:pos="576"/>
        </w:tabs>
        <w:ind w:left="576" w:hanging="576"/>
      </w:pPr>
      <w:r>
        <w:t>Allocated resource for multiple occasions</w:t>
      </w:r>
    </w:p>
    <w:p w14:paraId="7B3B52E7" w14:textId="77777777" w:rsidR="00992A0C" w:rsidRDefault="00992A0C" w:rsidP="00992A0C">
      <w:pPr>
        <w:jc w:val="both"/>
      </w:pPr>
      <w:r>
        <w:t>On the aspects of allocated frequency and time resources and other parameters for the configuration of PUSCH multiple occasions, two different options can be considered. In the 1</w:t>
      </w:r>
      <w:r w:rsidRPr="00F53EC4">
        <w:rPr>
          <w:vertAlign w:val="superscript"/>
        </w:rPr>
        <w:t>st</w:t>
      </w:r>
      <w:r>
        <w:t xml:space="preserve"> option, the same set of CG parameters are shared for all PUSCH occasions. This includes the number of RBs, the number of allocated symbols and the PUSCH mapping type (i.e., type-A or type-B), as well as all other configuration parameters such as MCS, transform precoding, etc. In the 2</w:t>
      </w:r>
      <w:r w:rsidRPr="00F164BD">
        <w:rPr>
          <w:vertAlign w:val="superscript"/>
        </w:rPr>
        <w:t>nd</w:t>
      </w:r>
      <w:r>
        <w:t xml:space="preserve"> option, some of these mentioned parameters can be configured different for different PUSCH occasions. See Figure-1 below. </w:t>
      </w:r>
    </w:p>
    <w:p w14:paraId="2DE85F81" w14:textId="77777777" w:rsidR="00992A0C" w:rsidRDefault="00992A0C" w:rsidP="00992A0C">
      <w:pPr>
        <w:jc w:val="both"/>
      </w:pPr>
    </w:p>
    <w:p w14:paraId="46A4ADCE" w14:textId="77777777" w:rsidR="00992A0C" w:rsidRDefault="00992A0C" w:rsidP="00992A0C">
      <w:pPr>
        <w:keepNext/>
        <w:jc w:val="center"/>
      </w:pPr>
      <w:r w:rsidRPr="00F164BD">
        <w:rPr>
          <w:noProof/>
        </w:rPr>
        <w:drawing>
          <wp:inline distT="0" distB="0" distL="0" distR="0" wp14:anchorId="24979ACB" wp14:editId="671A2D3E">
            <wp:extent cx="4598591" cy="832758"/>
            <wp:effectExtent l="0" t="0" r="0" b="5715"/>
            <wp:docPr id="1"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a:blip r:embed="rId13"/>
                    <a:stretch>
                      <a:fillRect/>
                    </a:stretch>
                  </pic:blipFill>
                  <pic:spPr>
                    <a:xfrm>
                      <a:off x="0" y="0"/>
                      <a:ext cx="4670573" cy="845793"/>
                    </a:xfrm>
                    <a:prstGeom prst="rect">
                      <a:avLst/>
                    </a:prstGeom>
                  </pic:spPr>
                </pic:pic>
              </a:graphicData>
            </a:graphic>
          </wp:inline>
        </w:drawing>
      </w:r>
    </w:p>
    <w:p w14:paraId="36AC9ECA" w14:textId="64699042" w:rsidR="00992A0C" w:rsidRDefault="00992A0C" w:rsidP="00992A0C">
      <w:pPr>
        <w:pStyle w:val="Caption"/>
        <w:jc w:val="center"/>
      </w:pPr>
      <w:r>
        <w:t xml:space="preserve">Figure </w:t>
      </w:r>
      <w:fldSimple w:instr=" SEQ Figure \* ARABIC ">
        <w:r w:rsidR="00575D18">
          <w:rPr>
            <w:noProof/>
          </w:rPr>
          <w:t>1</w:t>
        </w:r>
      </w:fldSimple>
      <w:r>
        <w:t xml:space="preserve"> Possible configuration options </w:t>
      </w:r>
      <w:r>
        <w:rPr>
          <w:noProof/>
        </w:rPr>
        <w:t>for CG resource allocation</w:t>
      </w:r>
    </w:p>
    <w:p w14:paraId="175474E4" w14:textId="77777777" w:rsidR="00992A0C" w:rsidRDefault="00992A0C" w:rsidP="00992A0C">
      <w:pPr>
        <w:jc w:val="both"/>
      </w:pPr>
    </w:p>
    <w:p w14:paraId="281D0F77" w14:textId="16DEA1A9" w:rsidR="00992A0C" w:rsidRDefault="00992A0C" w:rsidP="00992A0C">
      <w:pPr>
        <w:jc w:val="both"/>
      </w:pPr>
      <w:r>
        <w:t xml:space="preserve">Option-1 needs only one set of RRC configuration parameter for CG based on the existing IEs. However, Option-2 would require multiple sets of configuration parameters, i.e., one set of parameters for each PUSCH transmission occasion per CG. Hence, Option-2 is likely to increase the specification efforts and complexity despite not having a clear advantage over Option-1 in terms of user or system performance. Therefore, Option-1 should be the preferred approach. We propose the following: </w:t>
      </w:r>
    </w:p>
    <w:p w14:paraId="7DE71182" w14:textId="77777777" w:rsidR="00992A0C" w:rsidRDefault="00992A0C" w:rsidP="00992A0C">
      <w:pPr>
        <w:jc w:val="both"/>
        <w:rPr>
          <w:b/>
          <w:bCs/>
          <w:color w:val="000000"/>
        </w:rPr>
      </w:pPr>
      <w:r>
        <w:rPr>
          <w:b/>
          <w:bCs/>
          <w:color w:val="000000"/>
        </w:rPr>
        <w:t>Proposal 1: All PUSCH transmission occasions in a single CG period share the same set of CG parameters (i.e., same number of RBs in frequency-domain, number of symbols, MCS, transform precoder configuration, etc.).</w:t>
      </w:r>
    </w:p>
    <w:p w14:paraId="6B230F4E" w14:textId="77777777" w:rsidR="00992A0C" w:rsidRDefault="00992A0C" w:rsidP="00992A0C">
      <w:pPr>
        <w:jc w:val="both"/>
        <w:rPr>
          <w:color w:val="000000"/>
        </w:rPr>
      </w:pPr>
      <w:r w:rsidRPr="00446278">
        <w:rPr>
          <w:color w:val="000000"/>
        </w:rPr>
        <w:t>Another im</w:t>
      </w:r>
      <w:r>
        <w:rPr>
          <w:color w:val="000000"/>
        </w:rPr>
        <w:t xml:space="preserve">portant design aspect of multiple occasions is possibly the dynamic indication of unused occasions by the UE via UCI. The motivation is essentially to help network be informed about unnecessary pre-configured UL resources with sufficient time in advance such that network can react and re-purpose these resources for another user in the system, potentially. That way, over-allocated resources can be utilized by another user in time. Therefore, it is essential for the network to be notified of such “unused resource indication” by the UE with sufficient time gap. Since such time gap is likely to depend on network configuration, the gap should be pre-configurable by the network. </w:t>
      </w:r>
    </w:p>
    <w:p w14:paraId="4F3AB239" w14:textId="77777777" w:rsidR="00992A0C" w:rsidRDefault="00992A0C" w:rsidP="00992A0C">
      <w:pPr>
        <w:jc w:val="both"/>
        <w:rPr>
          <w:b/>
          <w:bCs/>
          <w:color w:val="000000"/>
        </w:rPr>
      </w:pPr>
      <w:r>
        <w:rPr>
          <w:b/>
          <w:bCs/>
          <w:color w:val="000000"/>
        </w:rPr>
        <w:t>Proposal 2: A time offset parameter configured semi-statically by the network indicates the time gap between the 1</w:t>
      </w:r>
      <w:r w:rsidRPr="00877C65">
        <w:rPr>
          <w:b/>
          <w:bCs/>
          <w:color w:val="000000"/>
          <w:vertAlign w:val="superscript"/>
        </w:rPr>
        <w:t>st</w:t>
      </w:r>
      <w:r>
        <w:rPr>
          <w:b/>
          <w:bCs/>
          <w:color w:val="000000"/>
        </w:rPr>
        <w:t xml:space="preserve"> and the 2</w:t>
      </w:r>
      <w:r w:rsidRPr="00877C65">
        <w:rPr>
          <w:b/>
          <w:bCs/>
          <w:color w:val="000000"/>
          <w:vertAlign w:val="superscript"/>
        </w:rPr>
        <w:t>nd</w:t>
      </w:r>
      <w:r>
        <w:rPr>
          <w:b/>
          <w:bCs/>
          <w:color w:val="000000"/>
        </w:rPr>
        <w:t xml:space="preserve"> transmission occasions. </w:t>
      </w:r>
    </w:p>
    <w:p w14:paraId="072771DA" w14:textId="79115FE1" w:rsidR="00992A0C" w:rsidRDefault="00992A0C" w:rsidP="00B14000">
      <w:pPr>
        <w:jc w:val="both"/>
        <w:rPr>
          <w:b/>
          <w:bCs/>
          <w:color w:val="000000"/>
        </w:rPr>
      </w:pPr>
      <w:r>
        <w:rPr>
          <w:color w:val="000000"/>
        </w:rPr>
        <w:t>Although a time gap between the 1</w:t>
      </w:r>
      <w:r w:rsidRPr="00A84E9B">
        <w:rPr>
          <w:color w:val="000000"/>
          <w:vertAlign w:val="superscript"/>
        </w:rPr>
        <w:t>st</w:t>
      </w:r>
      <w:r>
        <w:rPr>
          <w:color w:val="000000"/>
        </w:rPr>
        <w:t xml:space="preserve"> and 2</w:t>
      </w:r>
      <w:r w:rsidRPr="00A84E9B">
        <w:rPr>
          <w:color w:val="000000"/>
          <w:vertAlign w:val="superscript"/>
        </w:rPr>
        <w:t>nd</w:t>
      </w:r>
      <w:r>
        <w:rPr>
          <w:color w:val="000000"/>
        </w:rPr>
        <w:t xml:space="preserve"> transmission occasions is desirable to guarantee sufficient time for the network to repurpose the unused occasions, it may not be desirable to have another time gap after every other transmission occasion after the first one. This is to minimize additional latency incurred in case most or all of the pre-configured transmission occasions are required for UE to transmit UL data. </w:t>
      </w:r>
      <w:r>
        <w:rPr>
          <w:bCs/>
          <w:color w:val="000000"/>
        </w:rPr>
        <w:t xml:space="preserve">We propose the following: </w:t>
      </w:r>
    </w:p>
    <w:p w14:paraId="4330E930" w14:textId="50D8B77E" w:rsidR="00992A0C" w:rsidRPr="0013085C" w:rsidRDefault="00992A0C" w:rsidP="00992A0C">
      <w:pPr>
        <w:jc w:val="both"/>
        <w:rPr>
          <w:b/>
          <w:bCs/>
          <w:color w:val="000000"/>
        </w:rPr>
      </w:pPr>
      <w:bookmarkStart w:id="5" w:name="_Hlk127110976"/>
      <w:r>
        <w:rPr>
          <w:b/>
          <w:bCs/>
          <w:color w:val="000000"/>
        </w:rPr>
        <w:t xml:space="preserve">Proposal 3: </w:t>
      </w:r>
      <w:bookmarkEnd w:id="5"/>
      <w:r>
        <w:rPr>
          <w:b/>
          <w:bCs/>
          <w:color w:val="000000"/>
        </w:rPr>
        <w:t>The rest of the transmission occasions after the initial occasions (i.e., the 2</w:t>
      </w:r>
      <w:r w:rsidRPr="00877C65">
        <w:rPr>
          <w:b/>
          <w:bCs/>
          <w:color w:val="000000"/>
          <w:vertAlign w:val="superscript"/>
        </w:rPr>
        <w:t>nd</w:t>
      </w:r>
      <w:r>
        <w:rPr>
          <w:b/>
          <w:bCs/>
          <w:color w:val="000000"/>
        </w:rPr>
        <w:t>, 3</w:t>
      </w:r>
      <w:r w:rsidRPr="00877C65">
        <w:rPr>
          <w:b/>
          <w:bCs/>
          <w:color w:val="000000"/>
          <w:vertAlign w:val="superscript"/>
        </w:rPr>
        <w:t>rd</w:t>
      </w:r>
      <w:r>
        <w:rPr>
          <w:b/>
          <w:bCs/>
          <w:color w:val="000000"/>
        </w:rPr>
        <w:t>, etc.) are assigned to back-to-back UL slots.</w:t>
      </w:r>
    </w:p>
    <w:p w14:paraId="21A68BDC" w14:textId="1F006871" w:rsidR="00992A0C" w:rsidRDefault="00992A0C" w:rsidP="00992A0C">
      <w:pPr>
        <w:jc w:val="both"/>
      </w:pPr>
      <w:r>
        <w:t>Regarding dynamic indication signaling for unused occasions, t</w:t>
      </w:r>
      <w:r w:rsidRPr="00507DF9">
        <w:t xml:space="preserve">he UCI </w:t>
      </w:r>
      <w:r>
        <w:t xml:space="preserve">indication can be either transmitted in a separate PUCCH besides PUSCH, or it can be multiplexed in PUSCH that carries the XR UL data. The first approach of signaling UCI in a separate PUCCH may have the potential benefit of higher UCI detection probability. Although UCI indication helps repurpose unused UL resources, it </w:t>
      </w:r>
      <w:r w:rsidR="00CB4B6F">
        <w:t xml:space="preserve">is not likely to </w:t>
      </w:r>
      <w:r>
        <w:t xml:space="preserve">impact XR traffic reliability. </w:t>
      </w:r>
      <w:r w:rsidR="00CB4B6F">
        <w:t>XR packet sizes are large whereas the UCI is expected to carry no more than a handful of bits</w:t>
      </w:r>
      <w:r w:rsidR="00035ED6">
        <w:t xml:space="preserve">. Furthermore, the UCI reliability can be improved in PUSCH by using a sufficiently large number of REs (i.e., setting beta parameter to a suitable value for rate matching as described in TS38.213). </w:t>
      </w:r>
      <w:r>
        <w:t xml:space="preserve">Multiplexing UCI in PUSCH is a more straightforward approach for this indication. </w:t>
      </w:r>
    </w:p>
    <w:p w14:paraId="0D5045FA" w14:textId="77777777" w:rsidR="00992A0C" w:rsidRDefault="00992A0C" w:rsidP="00992A0C">
      <w:pPr>
        <w:jc w:val="both"/>
      </w:pPr>
      <w:r>
        <w:t>In addition, UCI indication can be either multiplexed in the 1</w:t>
      </w:r>
      <w:r w:rsidRPr="00426172">
        <w:rPr>
          <w:vertAlign w:val="superscript"/>
        </w:rPr>
        <w:t>st</w:t>
      </w:r>
      <w:r>
        <w:t xml:space="preserve"> PUSCH only, or it can be sent at every transmission occasion. If the UCI in the 1</w:t>
      </w:r>
      <w:r w:rsidRPr="00426172">
        <w:rPr>
          <w:vertAlign w:val="superscript"/>
        </w:rPr>
        <w:t>st</w:t>
      </w:r>
      <w:r>
        <w:t xml:space="preserve"> transmission occasion cannot be detected by the network, sending the indication at every occasion may help network still recover the unused UL resources. Since the 2</w:t>
      </w:r>
      <w:r w:rsidRPr="00B451F5">
        <w:rPr>
          <w:vertAlign w:val="superscript"/>
        </w:rPr>
        <w:t>nd</w:t>
      </w:r>
      <w:r>
        <w:t>, 3</w:t>
      </w:r>
      <w:r w:rsidRPr="00B451F5">
        <w:rPr>
          <w:vertAlign w:val="superscript"/>
        </w:rPr>
        <w:t>rd</w:t>
      </w:r>
      <w:r>
        <w:t xml:space="preserve">, etc. transmission occasions are preferred to be positioned in time in back-to-back slots (i.e., for low-latency), network may not always have sufficient </w:t>
      </w:r>
      <w:r>
        <w:lastRenderedPageBreak/>
        <w:t>time to react to UCI indication from these occasions in FDD and some TDD configurations. However, in some other TDD configurations (e.g., DDDSU), network may have time to reach to UCI indication from 2</w:t>
      </w:r>
      <w:r w:rsidRPr="00B451F5">
        <w:rPr>
          <w:vertAlign w:val="superscript"/>
        </w:rPr>
        <w:t>nd</w:t>
      </w:r>
      <w:r>
        <w:t>, 3</w:t>
      </w:r>
      <w:r w:rsidRPr="00B451F5">
        <w:rPr>
          <w:vertAlign w:val="superscript"/>
        </w:rPr>
        <w:t>rd</w:t>
      </w:r>
      <w:r>
        <w:t xml:space="preserve">, etc. occasions. </w:t>
      </w:r>
    </w:p>
    <w:p w14:paraId="31A30A36" w14:textId="77777777" w:rsidR="00992A0C" w:rsidRDefault="00992A0C" w:rsidP="00992A0C">
      <w:pPr>
        <w:keepNext/>
        <w:jc w:val="center"/>
      </w:pPr>
      <w:r w:rsidRPr="00507DF9">
        <w:rPr>
          <w:b/>
          <w:bCs/>
          <w:noProof/>
          <w:color w:val="000000"/>
        </w:rPr>
        <w:drawing>
          <wp:inline distT="0" distB="0" distL="0" distR="0" wp14:anchorId="79FD0AD8" wp14:editId="7B96005E">
            <wp:extent cx="4942114" cy="1003735"/>
            <wp:effectExtent l="0" t="0" r="0" b="6350"/>
            <wp:docPr id="12" name="Picture 1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diagram&#10;&#10;Description automatically generated"/>
                    <pic:cNvPicPr/>
                  </pic:nvPicPr>
                  <pic:blipFill>
                    <a:blip r:embed="rId14"/>
                    <a:stretch>
                      <a:fillRect/>
                    </a:stretch>
                  </pic:blipFill>
                  <pic:spPr>
                    <a:xfrm>
                      <a:off x="0" y="0"/>
                      <a:ext cx="4970196" cy="1009438"/>
                    </a:xfrm>
                    <a:prstGeom prst="rect">
                      <a:avLst/>
                    </a:prstGeom>
                  </pic:spPr>
                </pic:pic>
              </a:graphicData>
            </a:graphic>
          </wp:inline>
        </w:drawing>
      </w:r>
    </w:p>
    <w:p w14:paraId="56CB8DC3" w14:textId="2A80ED33" w:rsidR="00992A0C" w:rsidRDefault="00992A0C" w:rsidP="00992A0C">
      <w:pPr>
        <w:pStyle w:val="Caption"/>
        <w:jc w:val="center"/>
        <w:rPr>
          <w:b w:val="0"/>
          <w:bCs/>
          <w:color w:val="000000"/>
        </w:rPr>
      </w:pPr>
      <w:r>
        <w:t xml:space="preserve">Figure </w:t>
      </w:r>
      <w:fldSimple w:instr=" SEQ Figure \* ARABIC ">
        <w:r w:rsidR="00575D18">
          <w:rPr>
            <w:noProof/>
          </w:rPr>
          <w:t>2</w:t>
        </w:r>
      </w:fldSimple>
      <w:r>
        <w:t xml:space="preserve"> UCI can be also indicated from the other back-to-back UL transmission occasions and network can still have sufficient time to repurpose unused UL resources, at least in some TDD </w:t>
      </w:r>
      <w:r w:rsidR="00D91DFE">
        <w:t>configurations.</w:t>
      </w:r>
    </w:p>
    <w:p w14:paraId="5A0A4B01" w14:textId="77777777" w:rsidR="00992A0C" w:rsidRDefault="00992A0C" w:rsidP="00992A0C">
      <w:pPr>
        <w:jc w:val="both"/>
        <w:rPr>
          <w:color w:val="000000"/>
        </w:rPr>
      </w:pPr>
    </w:p>
    <w:p w14:paraId="77595AC6" w14:textId="77777777" w:rsidR="00AA794A" w:rsidRDefault="00992A0C" w:rsidP="00992A0C">
      <w:pPr>
        <w:jc w:val="both"/>
      </w:pPr>
      <w:r>
        <w:t xml:space="preserve">For example, see Figure 2 </w:t>
      </w:r>
      <w:r w:rsidR="00475971">
        <w:t>above</w:t>
      </w:r>
      <w:r>
        <w:t>. In example-2, even though the rest of the PUSCH occasions (after the 1</w:t>
      </w:r>
      <w:r w:rsidRPr="00B451F5">
        <w:rPr>
          <w:vertAlign w:val="superscript"/>
        </w:rPr>
        <w:t>st</w:t>
      </w:r>
      <w:r>
        <w:t xml:space="preserve"> PUSCH) are located in back-to-back uplink slots, network will have 5ms in 15KHz SCS configuration (and 2.5ms in 30KHz SCS configuration) to decode the UCI and re-allocate the successive PUSCH transmission occasion to another user. </w:t>
      </w:r>
      <w:r w:rsidR="00AA794A">
        <w:t>Another motivation to report UCI in every PUSCH occasion is related to jitter. If the UL video packet arrival is delayed, UE can still use the UCI in the 2</w:t>
      </w:r>
      <w:r w:rsidR="00AA794A" w:rsidRPr="00AA794A">
        <w:rPr>
          <w:vertAlign w:val="superscript"/>
        </w:rPr>
        <w:t>nd</w:t>
      </w:r>
      <w:r w:rsidR="00AA794A">
        <w:t xml:space="preserve"> transmission occasion to report to the network how many occasions will be needed. </w:t>
      </w:r>
    </w:p>
    <w:p w14:paraId="259B34AB" w14:textId="50E32F38" w:rsidR="00EB0E4F" w:rsidRPr="00EB0E4F" w:rsidRDefault="00EB0E4F" w:rsidP="00992A0C">
      <w:pPr>
        <w:jc w:val="both"/>
        <w:rPr>
          <w:bCs/>
          <w:i/>
          <w:iCs/>
        </w:rPr>
      </w:pPr>
      <w:r>
        <w:rPr>
          <w:b/>
          <w:i/>
          <w:iCs/>
        </w:rPr>
        <w:t>Observation 2</w:t>
      </w:r>
      <w:r w:rsidRPr="0093035F">
        <w:rPr>
          <w:b/>
          <w:i/>
          <w:iCs/>
        </w:rPr>
        <w:t xml:space="preserve">: </w:t>
      </w:r>
      <w:r w:rsidR="005C4A4E">
        <w:rPr>
          <w:bCs/>
          <w:i/>
          <w:iCs/>
        </w:rPr>
        <w:t xml:space="preserve">Indicating UCI for the unused occasions at every transmission occasion has benefits in cases where large jitter occurs or in some </w:t>
      </w:r>
      <w:r w:rsidR="00DD0F3D">
        <w:rPr>
          <w:bCs/>
          <w:i/>
          <w:iCs/>
        </w:rPr>
        <w:t xml:space="preserve">DL-UL patterns in </w:t>
      </w:r>
      <w:r w:rsidR="005C4A4E">
        <w:rPr>
          <w:bCs/>
          <w:i/>
          <w:iCs/>
        </w:rPr>
        <w:t>TDD configuration</w:t>
      </w:r>
      <w:r w:rsidR="00DD0F3D">
        <w:rPr>
          <w:bCs/>
          <w:i/>
          <w:iCs/>
        </w:rPr>
        <w:t>s</w:t>
      </w:r>
      <w:r w:rsidR="005C4A4E">
        <w:rPr>
          <w:bCs/>
          <w:i/>
          <w:iCs/>
        </w:rPr>
        <w:t xml:space="preserve">. </w:t>
      </w:r>
    </w:p>
    <w:p w14:paraId="2847876F" w14:textId="510E1DD4" w:rsidR="00992A0C" w:rsidRPr="00CE4940" w:rsidRDefault="00992A0C" w:rsidP="00992A0C">
      <w:pPr>
        <w:jc w:val="both"/>
      </w:pPr>
      <w:r w:rsidRPr="00C761EE">
        <w:rPr>
          <w:color w:val="000000"/>
        </w:rPr>
        <w:t xml:space="preserve">We propose the following: </w:t>
      </w:r>
    </w:p>
    <w:p w14:paraId="5B2372EE" w14:textId="4A6FEFC8" w:rsidR="00992A0C" w:rsidRDefault="00992A0C" w:rsidP="00992A0C">
      <w:pPr>
        <w:jc w:val="both"/>
        <w:rPr>
          <w:b/>
          <w:bCs/>
          <w:color w:val="000000"/>
        </w:rPr>
      </w:pPr>
      <w:r>
        <w:rPr>
          <w:b/>
          <w:bCs/>
          <w:color w:val="000000"/>
        </w:rPr>
        <w:t xml:space="preserve">Proposal 4: UCI is multiplexed in PUSCH at every transmission occasion. </w:t>
      </w:r>
    </w:p>
    <w:p w14:paraId="434EAFE9" w14:textId="77777777" w:rsidR="002742DA" w:rsidRDefault="002742DA" w:rsidP="00992A0C">
      <w:pPr>
        <w:jc w:val="both"/>
        <w:rPr>
          <w:b/>
          <w:bCs/>
          <w:color w:val="000000"/>
        </w:rPr>
      </w:pPr>
    </w:p>
    <w:p w14:paraId="16C91F33" w14:textId="0D5AD66B" w:rsidR="00992A0C" w:rsidRPr="00796A71" w:rsidRDefault="00992A0C" w:rsidP="00992A0C">
      <w:pPr>
        <w:pStyle w:val="Heading2"/>
        <w:numPr>
          <w:ilvl w:val="1"/>
          <w:numId w:val="46"/>
        </w:numPr>
        <w:tabs>
          <w:tab w:val="num" w:pos="576"/>
        </w:tabs>
        <w:ind w:left="576" w:hanging="576"/>
      </w:pPr>
      <w:r>
        <w:t xml:space="preserve">Type of UCI format for </w:t>
      </w:r>
      <w:r w:rsidR="00C075FC">
        <w:t xml:space="preserve">the indication of </w:t>
      </w:r>
      <w:r>
        <w:t>unused occasion</w:t>
      </w:r>
      <w:r w:rsidR="00C075FC">
        <w:t>s</w:t>
      </w:r>
    </w:p>
    <w:p w14:paraId="76BD8D80" w14:textId="67A8894D" w:rsidR="00992A0C" w:rsidRDefault="00D85B71" w:rsidP="00992A0C">
      <w:pPr>
        <w:jc w:val="both"/>
        <w:rPr>
          <w:color w:val="000000"/>
        </w:rPr>
      </w:pPr>
      <w:r>
        <w:rPr>
          <w:color w:val="000000"/>
        </w:rPr>
        <w:t>Two options can be considered</w:t>
      </w:r>
      <w:r w:rsidR="003F6B13">
        <w:rPr>
          <w:color w:val="000000"/>
        </w:rPr>
        <w:t xml:space="preserve"> as candidate formats</w:t>
      </w:r>
      <w:r>
        <w:rPr>
          <w:color w:val="000000"/>
        </w:rPr>
        <w:t xml:space="preserve">. </w:t>
      </w:r>
      <w:r w:rsidR="0091152F">
        <w:rPr>
          <w:color w:val="000000"/>
        </w:rPr>
        <w:t>Either a</w:t>
      </w:r>
      <w:r>
        <w:rPr>
          <w:color w:val="000000"/>
        </w:rPr>
        <w:t xml:space="preserve"> new UCI format can be introduced for the indication of unused CG PUSCH occasions, or one of the existing UCI formats is re-used. Since CG-UCI is </w:t>
      </w:r>
      <w:r w:rsidR="00ED4E32">
        <w:rPr>
          <w:color w:val="000000"/>
        </w:rPr>
        <w:t>already defined in the specifications</w:t>
      </w:r>
      <w:r>
        <w:rPr>
          <w:color w:val="000000"/>
        </w:rPr>
        <w:t xml:space="preserve"> and it supports multiplexing with CG PUSCH, it is a suitable candidate for R18 dynamic indication. </w:t>
      </w:r>
    </w:p>
    <w:p w14:paraId="47A83CE4" w14:textId="0628AF5D" w:rsidR="00687EB9" w:rsidRDefault="00687EB9" w:rsidP="00992A0C">
      <w:pPr>
        <w:jc w:val="both"/>
        <w:rPr>
          <w:color w:val="000000"/>
        </w:rPr>
      </w:pPr>
      <w:r>
        <w:rPr>
          <w:color w:val="000000"/>
        </w:rPr>
        <w:t xml:space="preserve">We propose the following: </w:t>
      </w:r>
    </w:p>
    <w:p w14:paraId="79B8A577" w14:textId="3BB0BE57" w:rsidR="00687EB9" w:rsidRPr="00687EB9" w:rsidRDefault="00687EB9" w:rsidP="00992A0C">
      <w:pPr>
        <w:jc w:val="both"/>
        <w:rPr>
          <w:b/>
          <w:bCs/>
          <w:color w:val="000000"/>
        </w:rPr>
      </w:pPr>
      <w:r>
        <w:rPr>
          <w:b/>
          <w:bCs/>
          <w:color w:val="000000"/>
        </w:rPr>
        <w:t xml:space="preserve">Proposal 5: UCI that indicates the unused PUSCH occasions shall re-use </w:t>
      </w:r>
      <w:r w:rsidRPr="00877C65">
        <w:rPr>
          <w:b/>
          <w:bCs/>
          <w:color w:val="000000"/>
        </w:rPr>
        <w:t xml:space="preserve">the existing CG-UCI </w:t>
      </w:r>
      <w:r>
        <w:rPr>
          <w:b/>
          <w:bCs/>
          <w:color w:val="000000"/>
        </w:rPr>
        <w:t>format</w:t>
      </w:r>
      <w:r w:rsidRPr="00877C65">
        <w:rPr>
          <w:b/>
          <w:bCs/>
          <w:color w:val="000000"/>
        </w:rPr>
        <w:t xml:space="preserve">. </w:t>
      </w:r>
    </w:p>
    <w:p w14:paraId="6AA2D4AB" w14:textId="2B3F9A40" w:rsidR="00687EB9" w:rsidRDefault="00687EB9" w:rsidP="00992A0C">
      <w:pPr>
        <w:jc w:val="both"/>
        <w:rPr>
          <w:color w:val="000000"/>
        </w:rPr>
      </w:pPr>
      <w:r>
        <w:rPr>
          <w:color w:val="000000"/>
        </w:rPr>
        <w:t xml:space="preserve">If the same CG-UCI format is used for both R18 multiple occasions and R16 NR-U, a pre-configuration parameter may be needed to enable/disable R18 multiple occasion functionality. When R18 CG feature is not enabled, UE uses CG-UCI based on existing R16 NR-U design. When R18 CG </w:t>
      </w:r>
      <w:r w:rsidR="00640568">
        <w:rPr>
          <w:color w:val="000000"/>
        </w:rPr>
        <w:t xml:space="preserve">multiple occasions </w:t>
      </w:r>
      <w:r>
        <w:rPr>
          <w:color w:val="000000"/>
        </w:rPr>
        <w:t>feature is enabled</w:t>
      </w:r>
      <w:r w:rsidR="00640568">
        <w:rPr>
          <w:color w:val="000000"/>
        </w:rPr>
        <w:t xml:space="preserve">, </w:t>
      </w:r>
      <w:r w:rsidR="00787A66">
        <w:rPr>
          <w:color w:val="000000"/>
        </w:rPr>
        <w:t xml:space="preserve">UE uses CG-UCI multiplexed with PUSCH to dynamically indicate </w:t>
      </w:r>
      <w:r w:rsidR="00BB0485">
        <w:rPr>
          <w:color w:val="000000"/>
        </w:rPr>
        <w:t>unused</w:t>
      </w:r>
      <w:r w:rsidR="00787A66">
        <w:rPr>
          <w:color w:val="000000"/>
        </w:rPr>
        <w:t xml:space="preserve"> </w:t>
      </w:r>
      <w:r w:rsidR="00BB0485">
        <w:rPr>
          <w:color w:val="000000"/>
        </w:rPr>
        <w:t xml:space="preserve">transmission </w:t>
      </w:r>
      <w:r w:rsidR="00787A66">
        <w:rPr>
          <w:color w:val="000000"/>
        </w:rPr>
        <w:t xml:space="preserve">occasions in a period. </w:t>
      </w:r>
    </w:p>
    <w:p w14:paraId="4524C3D3" w14:textId="442E7145" w:rsidR="00992A0C" w:rsidRDefault="00BB0485" w:rsidP="00992A0C">
      <w:pPr>
        <w:jc w:val="both"/>
        <w:rPr>
          <w:color w:val="000000"/>
        </w:rPr>
      </w:pPr>
      <w:r w:rsidRPr="00BB0485">
        <w:rPr>
          <w:color w:val="000000"/>
        </w:rPr>
        <w:t xml:space="preserve">On the </w:t>
      </w:r>
      <w:r>
        <w:rPr>
          <w:color w:val="000000"/>
        </w:rPr>
        <w:t xml:space="preserve">content of the </w:t>
      </w:r>
      <w:r w:rsidR="00D6660D">
        <w:rPr>
          <w:color w:val="000000"/>
        </w:rPr>
        <w:t xml:space="preserve">reported </w:t>
      </w:r>
      <w:r>
        <w:rPr>
          <w:color w:val="000000"/>
        </w:rPr>
        <w:t xml:space="preserve">UCI information, at least one UCI field is needed </w:t>
      </w:r>
      <w:r w:rsidR="00D6660D">
        <w:rPr>
          <w:color w:val="000000"/>
        </w:rPr>
        <w:t xml:space="preserve">to indicate the number of additional PUSCH transmission occasions required by the UE (i.e., other than the current PUSCH transmission occasion). If UE requires fewer transmission occasions than the total </w:t>
      </w:r>
      <w:r w:rsidR="00F907AA">
        <w:rPr>
          <w:color w:val="000000"/>
        </w:rPr>
        <w:t xml:space="preserve">number of </w:t>
      </w:r>
      <w:r w:rsidR="00D6660D">
        <w:rPr>
          <w:color w:val="000000"/>
        </w:rPr>
        <w:t xml:space="preserve">pre-configured occasions, </w:t>
      </w:r>
      <w:r w:rsidR="00504297">
        <w:rPr>
          <w:color w:val="000000"/>
        </w:rPr>
        <w:t xml:space="preserve">UE should indicate ‘all-zeros’ at the last PUSCH transmission in the same CG period. </w:t>
      </w:r>
      <w:r w:rsidR="00B921FE">
        <w:rPr>
          <w:color w:val="000000"/>
        </w:rPr>
        <w:t xml:space="preserve">See Figure 3 as an example. </w:t>
      </w:r>
    </w:p>
    <w:p w14:paraId="44BC48C6" w14:textId="3F1A0748" w:rsidR="00B921FE" w:rsidRDefault="00B921FE" w:rsidP="00992A0C">
      <w:pPr>
        <w:jc w:val="both"/>
        <w:rPr>
          <w:color w:val="000000"/>
        </w:rPr>
      </w:pPr>
    </w:p>
    <w:p w14:paraId="66AE0FF9" w14:textId="4E469034" w:rsidR="00461E47" w:rsidRDefault="00503989" w:rsidP="00461E47">
      <w:pPr>
        <w:keepNext/>
        <w:jc w:val="both"/>
      </w:pPr>
      <w:r w:rsidRPr="00503989">
        <w:rPr>
          <w:noProof/>
        </w:rPr>
        <w:drawing>
          <wp:inline distT="0" distB="0" distL="0" distR="0" wp14:anchorId="0417031F" wp14:editId="290AF64B">
            <wp:extent cx="6122035" cy="1332865"/>
            <wp:effectExtent l="0" t="0" r="0" b="635"/>
            <wp:docPr id="4" name="Picture 4"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schematic&#10;&#10;Description automatically generated"/>
                    <pic:cNvPicPr/>
                  </pic:nvPicPr>
                  <pic:blipFill>
                    <a:blip r:embed="rId15"/>
                    <a:stretch>
                      <a:fillRect/>
                    </a:stretch>
                  </pic:blipFill>
                  <pic:spPr>
                    <a:xfrm>
                      <a:off x="0" y="0"/>
                      <a:ext cx="6122035" cy="1332865"/>
                    </a:xfrm>
                    <a:prstGeom prst="rect">
                      <a:avLst/>
                    </a:prstGeom>
                  </pic:spPr>
                </pic:pic>
              </a:graphicData>
            </a:graphic>
          </wp:inline>
        </w:drawing>
      </w:r>
    </w:p>
    <w:p w14:paraId="64962388" w14:textId="51A99591" w:rsidR="000568F1" w:rsidRDefault="00461E47" w:rsidP="00461E47">
      <w:pPr>
        <w:pStyle w:val="Caption"/>
        <w:jc w:val="both"/>
        <w:rPr>
          <w:color w:val="000000"/>
        </w:rPr>
      </w:pPr>
      <w:r>
        <w:t xml:space="preserve">Figure </w:t>
      </w:r>
      <w:fldSimple w:instr=" SEQ Figure \* ARABIC ">
        <w:r w:rsidR="00575D18">
          <w:rPr>
            <w:noProof/>
          </w:rPr>
          <w:t>3</w:t>
        </w:r>
      </w:fldSimple>
      <w:r>
        <w:t xml:space="preserve"> An example illustrating a UE that needs only 3 transmission occasions </w:t>
      </w:r>
      <w:r w:rsidR="00EC11D6">
        <w:t>although a total of</w:t>
      </w:r>
      <w:r>
        <w:t xml:space="preserve"> 4 occasions are pre-configured </w:t>
      </w:r>
      <w:r w:rsidR="00FC5E70">
        <w:t xml:space="preserve">per one </w:t>
      </w:r>
      <w:r>
        <w:t>CG period.</w:t>
      </w:r>
    </w:p>
    <w:p w14:paraId="539D6CD1" w14:textId="19283D13" w:rsidR="000568F1" w:rsidRPr="00BB0485" w:rsidRDefault="00461E47" w:rsidP="00992A0C">
      <w:pPr>
        <w:jc w:val="both"/>
        <w:rPr>
          <w:color w:val="000000"/>
        </w:rPr>
      </w:pPr>
      <w:r>
        <w:rPr>
          <w:color w:val="000000"/>
        </w:rPr>
        <w:lastRenderedPageBreak/>
        <w:t xml:space="preserve">Based on the </w:t>
      </w:r>
      <w:r w:rsidR="0021445B">
        <w:rPr>
          <w:color w:val="000000"/>
        </w:rPr>
        <w:t xml:space="preserve">above </w:t>
      </w:r>
      <w:r>
        <w:rPr>
          <w:color w:val="000000"/>
        </w:rPr>
        <w:t>example</w:t>
      </w:r>
      <w:r w:rsidR="0021445B">
        <w:rPr>
          <w:color w:val="000000"/>
        </w:rPr>
        <w:t xml:space="preserve"> and discussion</w:t>
      </w:r>
      <w:r>
        <w:rPr>
          <w:color w:val="000000"/>
        </w:rPr>
        <w:t xml:space="preserve">, </w:t>
      </w:r>
      <w:r w:rsidR="0021445B">
        <w:rPr>
          <w:color w:val="000000"/>
        </w:rPr>
        <w:t>we propose that UCI field for reporting unused transmission occasions indicates how many more occasions are needed by the UE, besides the current PUSCH occasion in which this UCI is sent.</w:t>
      </w:r>
    </w:p>
    <w:p w14:paraId="7D4D7911" w14:textId="77777777" w:rsidR="00992A0C" w:rsidRDefault="00992A0C" w:rsidP="00992A0C">
      <w:pPr>
        <w:jc w:val="both"/>
        <w:rPr>
          <w:b/>
          <w:bCs/>
          <w:color w:val="000000"/>
        </w:rPr>
      </w:pPr>
      <w:r>
        <w:rPr>
          <w:b/>
          <w:bCs/>
          <w:color w:val="000000"/>
        </w:rPr>
        <w:t>Proposal 6: UCI contains at least one bit field, which indicates the number of additional PUSCH transmission occasions required by the UE, other than the current PUSCH transmission</w:t>
      </w:r>
      <w:r w:rsidRPr="00877C65">
        <w:rPr>
          <w:b/>
          <w:bCs/>
          <w:color w:val="000000"/>
        </w:rPr>
        <w:t xml:space="preserve">. </w:t>
      </w:r>
    </w:p>
    <w:p w14:paraId="202A6C8D" w14:textId="77777777" w:rsidR="00992A0C" w:rsidRDefault="00992A0C" w:rsidP="00992A0C">
      <w:pPr>
        <w:jc w:val="both"/>
        <w:rPr>
          <w:b/>
          <w:bCs/>
          <w:color w:val="000000"/>
        </w:rPr>
      </w:pPr>
    </w:p>
    <w:p w14:paraId="16931BF1" w14:textId="77777777" w:rsidR="00992A0C" w:rsidRPr="00796A71" w:rsidRDefault="00992A0C" w:rsidP="00992A0C">
      <w:pPr>
        <w:pStyle w:val="Heading2"/>
        <w:numPr>
          <w:ilvl w:val="1"/>
          <w:numId w:val="46"/>
        </w:numPr>
        <w:tabs>
          <w:tab w:val="num" w:pos="576"/>
        </w:tabs>
        <w:ind w:left="576" w:hanging="576"/>
      </w:pPr>
      <w:r w:rsidRPr="00796A71">
        <w:t xml:space="preserve">HARQ </w:t>
      </w:r>
      <w:r>
        <w:t>process ID determination for multiple occasions</w:t>
      </w:r>
    </w:p>
    <w:p w14:paraId="24A3A14D" w14:textId="77777777" w:rsidR="00992A0C" w:rsidRDefault="00992A0C" w:rsidP="00992A0C">
      <w:pPr>
        <w:jc w:val="both"/>
        <w:rPr>
          <w:color w:val="000000"/>
        </w:rPr>
      </w:pPr>
      <w:r>
        <w:rPr>
          <w:color w:val="000000"/>
        </w:rPr>
        <w:t xml:space="preserve">As per HARQ process ID determination, we can consider one of two possible approaches. The first method is by following the Rel-15/Rel-16 CG HARQ ID determination approach based on a modified version of the existing formula. The second method can be based on Rel-16 NR-U CG-UCI dynamic indication approach. </w:t>
      </w:r>
    </w:p>
    <w:p w14:paraId="543B272F" w14:textId="5A453354" w:rsidR="00992A0C" w:rsidRDefault="00992A0C" w:rsidP="00992A0C">
      <w:pPr>
        <w:jc w:val="both"/>
        <w:rPr>
          <w:color w:val="000000"/>
        </w:rPr>
      </w:pPr>
      <w:r>
        <w:rPr>
          <w:color w:val="000000"/>
        </w:rPr>
        <w:t>The HARQ process ID is determined in Rel-15/</w:t>
      </w:r>
      <w:r w:rsidRPr="00430B08">
        <w:rPr>
          <w:color w:val="000000"/>
        </w:rPr>
        <w:t>Rel-16 C</w:t>
      </w:r>
      <w:r>
        <w:rPr>
          <w:color w:val="000000"/>
        </w:rPr>
        <w:t xml:space="preserve">G based on a formula in MAC specifications as quoted below. From TS 38.321, clause 5.4.1, we can see: </w:t>
      </w:r>
    </w:p>
    <w:tbl>
      <w:tblPr>
        <w:tblStyle w:val="TableGrid"/>
        <w:tblW w:w="0" w:type="auto"/>
        <w:tblLook w:val="04A0" w:firstRow="1" w:lastRow="0" w:firstColumn="1" w:lastColumn="0" w:noHBand="0" w:noVBand="1"/>
      </w:tblPr>
      <w:tblGrid>
        <w:gridCol w:w="9350"/>
      </w:tblGrid>
      <w:tr w:rsidR="00992A0C" w14:paraId="26425C8E" w14:textId="77777777" w:rsidTr="00CB0709">
        <w:tc>
          <w:tcPr>
            <w:tcW w:w="9350" w:type="dxa"/>
          </w:tcPr>
          <w:p w14:paraId="7C5B12AF" w14:textId="77777777" w:rsidR="00992A0C" w:rsidRDefault="00992A0C" w:rsidP="00CB0709">
            <w:pPr>
              <w:overflowPunct w:val="0"/>
              <w:autoSpaceDE w:val="0"/>
              <w:autoSpaceDN w:val="0"/>
              <w:adjustRightInd w:val="0"/>
              <w:rPr>
                <w:rFonts w:eastAsia="Times New Roman"/>
                <w:noProof/>
                <w:lang w:val="en-GB" w:eastAsia="ko-KR"/>
              </w:rPr>
            </w:pPr>
            <w:r>
              <w:rPr>
                <w:rFonts w:eastAsia="Times New Roman"/>
                <w:noProof/>
                <w:lang w:val="en-GB" w:eastAsia="ko-KR"/>
              </w:rPr>
              <w:t>….</w:t>
            </w:r>
          </w:p>
          <w:p w14:paraId="4CE8B0E5" w14:textId="77777777" w:rsidR="00992A0C" w:rsidRPr="00430B08" w:rsidRDefault="00992A0C" w:rsidP="00CB0709">
            <w:pPr>
              <w:overflowPunct w:val="0"/>
              <w:autoSpaceDE w:val="0"/>
              <w:autoSpaceDN w:val="0"/>
              <w:adjustRightInd w:val="0"/>
              <w:rPr>
                <w:rFonts w:eastAsia="Times New Roman"/>
                <w:noProof/>
                <w:lang w:val="en-GB" w:eastAsia="ko-KR"/>
              </w:rPr>
            </w:pPr>
            <w:r w:rsidRPr="00430B08">
              <w:rPr>
                <w:rFonts w:eastAsia="Times New Roman"/>
                <w:noProof/>
                <w:lang w:val="en-GB" w:eastAsia="ko-KR"/>
              </w:rPr>
              <w:t xml:space="preserve">For configured uplink grants neither configured with </w:t>
            </w:r>
            <w:r w:rsidRPr="00430B08">
              <w:rPr>
                <w:rFonts w:eastAsia="Times New Roman"/>
                <w:i/>
                <w:noProof/>
                <w:lang w:val="en-GB" w:eastAsia="ko-KR"/>
              </w:rPr>
              <w:t>harq-ProcID-Offset2</w:t>
            </w:r>
            <w:r w:rsidRPr="00430B08">
              <w:rPr>
                <w:rFonts w:eastAsia="Times New Roman"/>
                <w:noProof/>
                <w:lang w:val="en-GB" w:eastAsia="ko-KR"/>
              </w:rPr>
              <w:t xml:space="preserve"> nor with </w:t>
            </w:r>
            <w:r w:rsidRPr="00430B08">
              <w:rPr>
                <w:rFonts w:eastAsia="Times New Roman"/>
                <w:i/>
                <w:noProof/>
                <w:lang w:val="en-GB" w:eastAsia="ko-KR"/>
              </w:rPr>
              <w:t>cg-RetransmissionTimer</w:t>
            </w:r>
            <w:r w:rsidRPr="00430B08">
              <w:rPr>
                <w:rFonts w:eastAsia="Times New Roman"/>
                <w:noProof/>
                <w:lang w:val="en-GB" w:eastAsia="ko-KR"/>
              </w:rPr>
              <w:t>, the HARQ Process ID associated with the first symbol of a UL transmission is derived from the following equation:</w:t>
            </w:r>
          </w:p>
          <w:p w14:paraId="15D71BA2" w14:textId="77777777" w:rsidR="00992A0C" w:rsidRPr="00430B08" w:rsidRDefault="00992A0C" w:rsidP="00CB0709">
            <w:pPr>
              <w:keepLines/>
              <w:tabs>
                <w:tab w:val="center" w:pos="4536"/>
                <w:tab w:val="right" w:pos="9072"/>
              </w:tabs>
              <w:overflowPunct w:val="0"/>
              <w:autoSpaceDE w:val="0"/>
              <w:autoSpaceDN w:val="0"/>
              <w:adjustRightInd w:val="0"/>
              <w:rPr>
                <w:rFonts w:eastAsia="Times New Roman"/>
                <w:noProof/>
                <w:lang w:val="en-GB" w:eastAsia="ko-KR"/>
              </w:rPr>
            </w:pPr>
            <w:r w:rsidRPr="00430B08">
              <w:rPr>
                <w:rFonts w:eastAsia="Times New Roman"/>
                <w:noProof/>
                <w:lang w:val="en-GB" w:eastAsia="ko-KR"/>
              </w:rPr>
              <w:tab/>
            </w:r>
            <w:r w:rsidRPr="00430B08">
              <w:rPr>
                <w:rFonts w:eastAsia="Times New Roman"/>
                <w:noProof/>
                <w:highlight w:val="yellow"/>
                <w:lang w:val="en-GB" w:eastAsia="ko-KR"/>
              </w:rPr>
              <w:t>HARQ Process ID = [floor(CURRENT_symbol/</w:t>
            </w:r>
            <w:r w:rsidRPr="00430B08">
              <w:rPr>
                <w:rFonts w:eastAsia="Times New Roman"/>
                <w:i/>
                <w:noProof/>
                <w:highlight w:val="yellow"/>
                <w:lang w:val="en-GB" w:eastAsia="ko-KR"/>
              </w:rPr>
              <w:t>periodicity</w:t>
            </w:r>
            <w:r w:rsidRPr="00430B08">
              <w:rPr>
                <w:rFonts w:eastAsia="Times New Roman"/>
                <w:noProof/>
                <w:highlight w:val="yellow"/>
                <w:lang w:val="en-GB" w:eastAsia="ko-KR"/>
              </w:rPr>
              <w:t xml:space="preserve">)] modulo </w:t>
            </w:r>
            <w:r w:rsidRPr="00430B08">
              <w:rPr>
                <w:rFonts w:eastAsia="Times New Roman"/>
                <w:i/>
                <w:noProof/>
                <w:highlight w:val="yellow"/>
                <w:lang w:val="en-GB" w:eastAsia="ko-KR"/>
              </w:rPr>
              <w:t>nrofHARQ-Processes</w:t>
            </w:r>
          </w:p>
          <w:p w14:paraId="784BD28A" w14:textId="77777777" w:rsidR="00992A0C" w:rsidRPr="00430B08" w:rsidRDefault="00992A0C" w:rsidP="00CB0709">
            <w:pPr>
              <w:overflowPunct w:val="0"/>
              <w:autoSpaceDE w:val="0"/>
              <w:autoSpaceDN w:val="0"/>
              <w:adjustRightInd w:val="0"/>
              <w:rPr>
                <w:rFonts w:eastAsia="Yu Mincho"/>
                <w:noProof/>
                <w:lang w:val="en-GB" w:eastAsia="ko-KR"/>
              </w:rPr>
            </w:pPr>
            <w:r w:rsidRPr="00430B08">
              <w:rPr>
                <w:rFonts w:eastAsia="Times New Roman"/>
                <w:noProof/>
                <w:lang w:val="en-GB" w:eastAsia="ko-KR"/>
              </w:rPr>
              <w:t xml:space="preserve">For configured uplink grants with </w:t>
            </w:r>
            <w:r w:rsidRPr="00430B08">
              <w:rPr>
                <w:rFonts w:eastAsia="Times New Roman"/>
                <w:i/>
                <w:noProof/>
                <w:lang w:val="en-GB" w:eastAsia="ko-KR"/>
              </w:rPr>
              <w:t>harq-ProcID-Offset2</w:t>
            </w:r>
            <w:r w:rsidRPr="00430B08">
              <w:rPr>
                <w:rFonts w:eastAsia="Times New Roman"/>
                <w:noProof/>
                <w:lang w:val="en-GB" w:eastAsia="ko-KR"/>
              </w:rPr>
              <w:t>, the HARQ Process ID associated with the first symbol of a UL transmission is derived from the following equation:</w:t>
            </w:r>
          </w:p>
          <w:p w14:paraId="0FD8FD49" w14:textId="77777777" w:rsidR="00992A0C" w:rsidRPr="00430B08" w:rsidRDefault="00992A0C" w:rsidP="00CB0709">
            <w:pPr>
              <w:keepLines/>
              <w:tabs>
                <w:tab w:val="center" w:pos="4536"/>
                <w:tab w:val="right" w:pos="9072"/>
              </w:tabs>
              <w:overflowPunct w:val="0"/>
              <w:autoSpaceDE w:val="0"/>
              <w:autoSpaceDN w:val="0"/>
              <w:adjustRightInd w:val="0"/>
              <w:rPr>
                <w:rFonts w:eastAsia="Times New Roman"/>
                <w:i/>
                <w:noProof/>
                <w:lang w:val="en-GB" w:eastAsia="ko-KR"/>
              </w:rPr>
            </w:pPr>
            <w:r w:rsidRPr="00430B08">
              <w:rPr>
                <w:rFonts w:eastAsia="Times New Roman"/>
                <w:noProof/>
                <w:lang w:val="en-GB" w:eastAsia="ko-KR"/>
              </w:rPr>
              <w:tab/>
              <w:t xml:space="preserve">HARQ Process ID = [floor(CURRENT_symbol / </w:t>
            </w:r>
            <w:r w:rsidRPr="00430B08">
              <w:rPr>
                <w:rFonts w:eastAsia="Times New Roman"/>
                <w:i/>
                <w:noProof/>
                <w:lang w:val="en-GB" w:eastAsia="ko-KR"/>
              </w:rPr>
              <w:t>periodicity</w:t>
            </w:r>
            <w:r w:rsidRPr="00430B08">
              <w:rPr>
                <w:rFonts w:eastAsia="Times New Roman"/>
                <w:noProof/>
                <w:lang w:val="en-GB" w:eastAsia="ko-KR"/>
              </w:rPr>
              <w:t xml:space="preserve">)] modulo </w:t>
            </w:r>
            <w:r w:rsidRPr="00430B08">
              <w:rPr>
                <w:rFonts w:eastAsia="Times New Roman"/>
                <w:i/>
                <w:noProof/>
                <w:lang w:val="en-GB" w:eastAsia="ko-KR"/>
              </w:rPr>
              <w:t>nrofHARQ-Processes</w:t>
            </w:r>
            <w:r w:rsidRPr="00430B08">
              <w:rPr>
                <w:rFonts w:eastAsia="Times New Roman"/>
                <w:noProof/>
                <w:lang w:val="en-GB" w:eastAsia="ko-KR"/>
              </w:rPr>
              <w:t xml:space="preserve"> + </w:t>
            </w:r>
            <w:r w:rsidRPr="00430B08">
              <w:rPr>
                <w:rFonts w:eastAsia="Times New Roman"/>
                <w:i/>
                <w:noProof/>
                <w:lang w:val="en-GB" w:eastAsia="ko-KR"/>
              </w:rPr>
              <w:t>harq-ProcID-Offset2</w:t>
            </w:r>
          </w:p>
          <w:p w14:paraId="12798475" w14:textId="77777777" w:rsidR="00992A0C" w:rsidRDefault="00992A0C" w:rsidP="00CB0709">
            <w:pPr>
              <w:jc w:val="both"/>
              <w:rPr>
                <w:rFonts w:eastAsia="Times New Roman"/>
                <w:noProof/>
                <w:lang w:val="en-GB" w:eastAsia="ko-KR"/>
              </w:rPr>
            </w:pPr>
            <w:r w:rsidRPr="00430B08">
              <w:rPr>
                <w:rFonts w:eastAsia="Times New Roman"/>
                <w:noProof/>
                <w:lang w:val="en-GB" w:eastAsia="ko-KR"/>
              </w:rPr>
              <w:t xml:space="preserve">where CURRENT_symbol = (SFN × </w:t>
            </w:r>
            <w:r w:rsidRPr="00430B08">
              <w:rPr>
                <w:rFonts w:eastAsia="Times New Roman"/>
                <w:i/>
                <w:noProof/>
                <w:lang w:val="en-GB" w:eastAsia="ko-KR"/>
              </w:rPr>
              <w:t>numberOfSlotsPerFrame</w:t>
            </w:r>
            <w:r w:rsidRPr="00430B08">
              <w:rPr>
                <w:rFonts w:eastAsia="Times New Roman"/>
                <w:noProof/>
                <w:lang w:val="en-GB" w:eastAsia="ko-KR"/>
              </w:rPr>
              <w:t xml:space="preserve"> × </w:t>
            </w:r>
            <w:r w:rsidRPr="00430B08">
              <w:rPr>
                <w:rFonts w:eastAsia="Times New Roman"/>
                <w:i/>
                <w:noProof/>
                <w:lang w:val="en-GB" w:eastAsia="ko-KR"/>
              </w:rPr>
              <w:t>numberOfSymbolsPerSlot</w:t>
            </w:r>
            <w:r w:rsidRPr="00430B08">
              <w:rPr>
                <w:rFonts w:eastAsia="Times New Roman"/>
                <w:noProof/>
                <w:lang w:val="en-GB" w:eastAsia="ko-KR"/>
              </w:rPr>
              <w:t xml:space="preserve"> + slot number in the frame × </w:t>
            </w:r>
            <w:r w:rsidRPr="00430B08">
              <w:rPr>
                <w:rFonts w:eastAsia="Times New Roman"/>
                <w:i/>
                <w:noProof/>
                <w:lang w:val="en-GB" w:eastAsia="ko-KR"/>
              </w:rPr>
              <w:t>numberOfSymbolsPerSlot</w:t>
            </w:r>
            <w:r w:rsidRPr="00430B08">
              <w:rPr>
                <w:rFonts w:eastAsia="Times New Roman"/>
                <w:noProof/>
                <w:lang w:val="en-GB" w:eastAsia="ko-KR"/>
              </w:rPr>
              <w:t xml:space="preserve"> + symbol number in the slot), and </w:t>
            </w:r>
            <w:r w:rsidRPr="00430B08">
              <w:rPr>
                <w:rFonts w:eastAsia="Times New Roman"/>
                <w:i/>
                <w:noProof/>
                <w:lang w:val="en-GB" w:eastAsia="ko-KR"/>
              </w:rPr>
              <w:t>numberOfSlotsPerFrame</w:t>
            </w:r>
            <w:r w:rsidRPr="00430B08">
              <w:rPr>
                <w:rFonts w:eastAsia="Times New Roman"/>
                <w:noProof/>
                <w:lang w:val="en-GB" w:eastAsia="ko-KR"/>
              </w:rPr>
              <w:t xml:space="preserve"> and </w:t>
            </w:r>
            <w:r w:rsidRPr="00430B08">
              <w:rPr>
                <w:rFonts w:eastAsia="Times New Roman"/>
                <w:i/>
                <w:noProof/>
                <w:lang w:val="en-GB" w:eastAsia="ko-KR"/>
              </w:rPr>
              <w:t>numberOfSymbolsPerSlot</w:t>
            </w:r>
            <w:r w:rsidRPr="00430B08">
              <w:rPr>
                <w:rFonts w:eastAsia="Times New Roman"/>
                <w:noProof/>
                <w:lang w:val="en-GB" w:eastAsia="ko-KR"/>
              </w:rPr>
              <w:t xml:space="preserve"> refer to the number of consecutive slots per frame and the number of consecutive symbols per slot, respectively as specified in TS 38.211 [8].</w:t>
            </w:r>
          </w:p>
          <w:p w14:paraId="5ADB330D" w14:textId="77777777" w:rsidR="00992A0C" w:rsidRDefault="00992A0C" w:rsidP="00CB0709">
            <w:pPr>
              <w:jc w:val="both"/>
              <w:rPr>
                <w:color w:val="000000"/>
              </w:rPr>
            </w:pPr>
            <w:r>
              <w:rPr>
                <w:rFonts w:eastAsia="Times New Roman"/>
                <w:noProof/>
                <w:lang w:val="en-GB" w:eastAsia="ko-KR"/>
              </w:rPr>
              <w:t>….</w:t>
            </w:r>
          </w:p>
        </w:tc>
      </w:tr>
    </w:tbl>
    <w:p w14:paraId="5AE57D77" w14:textId="77777777" w:rsidR="00992A0C" w:rsidRDefault="00992A0C" w:rsidP="00992A0C">
      <w:pPr>
        <w:jc w:val="both"/>
        <w:rPr>
          <w:color w:val="000000"/>
        </w:rPr>
      </w:pPr>
    </w:p>
    <w:p w14:paraId="1236F5BF" w14:textId="2BCF1600" w:rsidR="00992A0C" w:rsidRPr="006A4F9C" w:rsidRDefault="00992A0C" w:rsidP="00992A0C">
      <w:pPr>
        <w:jc w:val="both"/>
        <w:rPr>
          <w:color w:val="000000"/>
        </w:rPr>
      </w:pPr>
      <w:r>
        <w:rPr>
          <w:color w:val="000000"/>
        </w:rPr>
        <w:t xml:space="preserve">The formula above assigns HARQ process ID for each PUSCH occasion with the assumption that there is only one occasion in each CG period. With R18 multiple transmission occasions in a single CG period, the same formula may need to be modified to accommodate multiple PUSCH occasions wherein different TBs can be transmitted. All discussions regarding whether any modification is needed or if the existing formula is feasible for multiple occasions should be handled in RAN2. </w:t>
      </w:r>
    </w:p>
    <w:p w14:paraId="49F06E17" w14:textId="40C3E4F7" w:rsidR="00992A0C" w:rsidRPr="006A4F9C" w:rsidRDefault="00992A0C" w:rsidP="00992A0C">
      <w:pPr>
        <w:jc w:val="both"/>
        <w:rPr>
          <w:b/>
          <w:bCs/>
          <w:color w:val="000000"/>
        </w:rPr>
      </w:pPr>
      <w:r>
        <w:rPr>
          <w:b/>
          <w:i/>
          <w:iCs/>
        </w:rPr>
        <w:t xml:space="preserve">Observation </w:t>
      </w:r>
      <w:r w:rsidR="00EB0E4F">
        <w:rPr>
          <w:b/>
          <w:i/>
          <w:iCs/>
        </w:rPr>
        <w:t>3</w:t>
      </w:r>
      <w:r w:rsidRPr="0093035F">
        <w:rPr>
          <w:b/>
          <w:i/>
          <w:iCs/>
        </w:rPr>
        <w:t xml:space="preserve">: </w:t>
      </w:r>
      <w:r>
        <w:rPr>
          <w:bCs/>
          <w:i/>
          <w:iCs/>
        </w:rPr>
        <w:t xml:space="preserve">Existing HARQ process ID determination formula in TS38.321 may not work with multiple PUSCH transmission occasions. </w:t>
      </w:r>
    </w:p>
    <w:p w14:paraId="7C8386FD" w14:textId="3633AD39" w:rsidR="00992A0C" w:rsidRDefault="00992A0C" w:rsidP="00992A0C">
      <w:pPr>
        <w:jc w:val="both"/>
        <w:rPr>
          <w:color w:val="000000"/>
        </w:rPr>
      </w:pPr>
      <w:r>
        <w:rPr>
          <w:color w:val="000000"/>
        </w:rPr>
        <w:t xml:space="preserve">The second method to determine HARQ process ID can be based on Rel-16 NR-U CG-UCI type indication with UE implementation-based selection of the HARQ process ID. Then, the selected HARQ process ID can be indicated dynamically in the UCI, which is multiplexed in every CG PUSCH occasion. </w:t>
      </w:r>
    </w:p>
    <w:p w14:paraId="5CDE89BA" w14:textId="77777777" w:rsidR="00992A0C" w:rsidRDefault="00992A0C" w:rsidP="00992A0C">
      <w:pPr>
        <w:jc w:val="both"/>
        <w:rPr>
          <w:color w:val="000000"/>
        </w:rPr>
      </w:pPr>
      <w:r>
        <w:rPr>
          <w:color w:val="000000"/>
        </w:rPr>
        <w:t xml:space="preserve">The CG-UCI fields are defined in TS 38.212 [4], clause 6.3.2.1.3. where we can find: </w:t>
      </w:r>
    </w:p>
    <w:tbl>
      <w:tblPr>
        <w:tblStyle w:val="TableGrid"/>
        <w:tblW w:w="0" w:type="auto"/>
        <w:tblLook w:val="04A0" w:firstRow="1" w:lastRow="0" w:firstColumn="1" w:lastColumn="0" w:noHBand="0" w:noVBand="1"/>
      </w:tblPr>
      <w:tblGrid>
        <w:gridCol w:w="9440"/>
      </w:tblGrid>
      <w:tr w:rsidR="00992A0C" w14:paraId="2F8FBCFD" w14:textId="77777777" w:rsidTr="00CB0709">
        <w:tc>
          <w:tcPr>
            <w:tcW w:w="9350" w:type="dxa"/>
          </w:tcPr>
          <w:p w14:paraId="60567B1C" w14:textId="77777777" w:rsidR="00992A0C" w:rsidRDefault="00992A0C" w:rsidP="00CB0709">
            <w:pPr>
              <w:jc w:val="both"/>
              <w:rPr>
                <w:color w:val="000000"/>
              </w:rPr>
            </w:pPr>
            <w:r>
              <w:rPr>
                <w:color w:val="000000"/>
              </w:rPr>
              <w:t>….</w:t>
            </w:r>
          </w:p>
          <w:p w14:paraId="3E4E1F20" w14:textId="77777777" w:rsidR="00992A0C" w:rsidRPr="006B2450" w:rsidRDefault="00992A0C" w:rsidP="00CB0709">
            <w:pPr>
              <w:keepNext/>
              <w:keepLines/>
              <w:spacing w:before="60"/>
              <w:jc w:val="center"/>
              <w:rPr>
                <w:rFonts w:ascii="Arial" w:eastAsia="DengXian" w:hAnsi="Arial"/>
                <w:b/>
                <w:lang w:val="en-GB"/>
              </w:rPr>
            </w:pPr>
            <w:r w:rsidRPr="006B2450">
              <w:rPr>
                <w:rFonts w:ascii="Arial" w:eastAsia="DengXian" w:hAnsi="Arial"/>
                <w:b/>
                <w:lang w:val="en-GB"/>
              </w:rPr>
              <w:t xml:space="preserve">Table </w:t>
            </w:r>
            <w:r w:rsidRPr="006B2450">
              <w:rPr>
                <w:rFonts w:ascii="Arial" w:eastAsia="SimSun" w:hAnsi="Arial" w:hint="eastAsia"/>
                <w:b/>
                <w:lang w:val="en-GB" w:eastAsia="zh-CN"/>
              </w:rPr>
              <w:t>6.3.2.1.</w:t>
            </w:r>
            <w:r w:rsidRPr="006B2450">
              <w:rPr>
                <w:rFonts w:ascii="Arial" w:eastAsia="SimSun" w:hAnsi="Arial"/>
                <w:b/>
                <w:lang w:val="en-GB" w:eastAsia="zh-CN"/>
              </w:rPr>
              <w:t>3</w:t>
            </w:r>
            <w:r w:rsidRPr="006B2450">
              <w:rPr>
                <w:rFonts w:ascii="Arial" w:eastAsia="DengXian" w:hAnsi="Arial"/>
                <w:b/>
                <w:lang w:val="en-GB"/>
              </w:rPr>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992A0C" w:rsidRPr="006B2450" w14:paraId="23550239" w14:textId="77777777" w:rsidTr="00CB0709">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60CF2CE" w14:textId="77777777" w:rsidR="00992A0C" w:rsidRPr="006B2450" w:rsidRDefault="00992A0C" w:rsidP="00CB0709">
                  <w:pPr>
                    <w:keepNext/>
                    <w:keepLines/>
                    <w:jc w:val="center"/>
                    <w:rPr>
                      <w:rFonts w:ascii="Arial" w:eastAsia="DengXian" w:hAnsi="Arial"/>
                      <w:b/>
                      <w:sz w:val="18"/>
                      <w:lang w:val="en-GB"/>
                    </w:rPr>
                  </w:pPr>
                  <w:r w:rsidRPr="006B2450">
                    <w:rPr>
                      <w:rFonts w:ascii="Arial" w:eastAsia="DengXian" w:hAnsi="Arial"/>
                      <w:b/>
                      <w:sz w:val="18"/>
                      <w:lang w:val="en-GB"/>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9CB9D0E" w14:textId="77777777" w:rsidR="00992A0C" w:rsidRPr="006B2450" w:rsidRDefault="00992A0C" w:rsidP="00CB0709">
                  <w:pPr>
                    <w:keepNext/>
                    <w:keepLines/>
                    <w:jc w:val="center"/>
                    <w:rPr>
                      <w:rFonts w:ascii="Arial" w:eastAsia="DengXian" w:hAnsi="Arial"/>
                      <w:b/>
                      <w:sz w:val="18"/>
                      <w:lang w:val="en-GB"/>
                    </w:rPr>
                  </w:pPr>
                  <w:r w:rsidRPr="006B2450">
                    <w:rPr>
                      <w:rFonts w:ascii="Arial" w:eastAsia="DengXian" w:hAnsi="Arial"/>
                      <w:b/>
                      <w:sz w:val="18"/>
                      <w:lang w:val="en-GB"/>
                    </w:rPr>
                    <w:t>Bitwidth</w:t>
                  </w:r>
                </w:p>
              </w:tc>
            </w:tr>
            <w:tr w:rsidR="00992A0C" w:rsidRPr="006B2450" w14:paraId="4108A043" w14:textId="77777777" w:rsidTr="00CB07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2F9E9" w14:textId="77777777" w:rsidR="00992A0C" w:rsidRPr="006B2450" w:rsidRDefault="00992A0C" w:rsidP="00CB0709">
                  <w:pPr>
                    <w:keepNext/>
                    <w:jc w:val="center"/>
                    <w:rPr>
                      <w:rFonts w:ascii="Arial" w:eastAsia="Calibri" w:hAnsi="Arial" w:cs="Arial"/>
                      <w:sz w:val="18"/>
                      <w:szCs w:val="18"/>
                      <w:lang w:val="de-DE"/>
                    </w:rPr>
                  </w:pPr>
                  <w:r w:rsidRPr="006B2450">
                    <w:rPr>
                      <w:rFonts w:ascii="Arial" w:eastAsia="Calibri" w:hAnsi="Arial" w:cs="Arial"/>
                      <w:sz w:val="18"/>
                      <w:szCs w:val="18"/>
                      <w:lang w:val="en-GB"/>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A11C6"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de-DE"/>
                    </w:rPr>
                    <w:t>4</w:t>
                  </w:r>
                </w:p>
              </w:tc>
            </w:tr>
            <w:tr w:rsidR="00992A0C" w:rsidRPr="006B2450" w14:paraId="4CC03F5E" w14:textId="77777777" w:rsidTr="00CB07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90130"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en-GB"/>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F2F8F"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en-GB"/>
                    </w:rPr>
                    <w:t>2</w:t>
                  </w:r>
                </w:p>
              </w:tc>
            </w:tr>
            <w:tr w:rsidR="00992A0C" w:rsidRPr="006B2450" w14:paraId="70B123C4" w14:textId="77777777" w:rsidTr="00CB07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BCF65"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en-GB"/>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00BCB" w14:textId="77777777" w:rsidR="00992A0C" w:rsidRPr="006B2450" w:rsidRDefault="00992A0C" w:rsidP="00CB0709">
                  <w:pPr>
                    <w:keepNext/>
                    <w:jc w:val="center"/>
                    <w:rPr>
                      <w:rFonts w:ascii="Arial" w:eastAsia="Calibri" w:hAnsi="Arial" w:cs="Arial"/>
                      <w:sz w:val="18"/>
                      <w:szCs w:val="18"/>
                      <w:lang w:val="en-GB"/>
                    </w:rPr>
                  </w:pPr>
                  <w:r w:rsidRPr="006B2450">
                    <w:rPr>
                      <w:rFonts w:ascii="Arial" w:eastAsia="Calibri" w:hAnsi="Arial" w:cs="Arial"/>
                      <w:sz w:val="18"/>
                      <w:szCs w:val="18"/>
                      <w:lang w:val="en-GB"/>
                    </w:rPr>
                    <w:t>1</w:t>
                  </w:r>
                </w:p>
              </w:tc>
            </w:tr>
            <w:tr w:rsidR="00992A0C" w:rsidRPr="006B2450" w14:paraId="6AE8E10E" w14:textId="77777777" w:rsidTr="00CB07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5F8CF" w14:textId="77777777" w:rsidR="00992A0C" w:rsidRPr="006B2450" w:rsidRDefault="00992A0C" w:rsidP="00CB0709">
                  <w:pPr>
                    <w:keepNext/>
                    <w:jc w:val="center"/>
                    <w:rPr>
                      <w:rFonts w:ascii="Arial" w:eastAsia="Calibri" w:hAnsi="Arial" w:cs="Arial"/>
                      <w:sz w:val="18"/>
                      <w:szCs w:val="18"/>
                      <w:lang w:val="de-DE"/>
                    </w:rPr>
                  </w:pPr>
                  <w:r w:rsidRPr="006B2450">
                    <w:rPr>
                      <w:rFonts w:ascii="Arial" w:eastAsia="Calibri" w:hAnsi="Arial" w:cs="Arial"/>
                      <w:sz w:val="18"/>
                      <w:szCs w:val="18"/>
                      <w:lang w:val="en-GB"/>
                    </w:rPr>
                    <w:lastRenderedPageBreak/>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E16F88A" w14:textId="77777777" w:rsidR="00992A0C" w:rsidRPr="006B2450" w:rsidRDefault="00000000" w:rsidP="00CB0709">
                  <w:pPr>
                    <w:keepNext/>
                    <w:rPr>
                      <w:rFonts w:eastAsia="DengXian"/>
                      <w:i/>
                      <w:sz w:val="18"/>
                      <w:szCs w:val="18"/>
                      <w:lang w:val="en-GB"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m:rPr>
                                <m:sty m:val="p"/>
                              </m:rPr>
                              <w:rPr>
                                <w:rFonts w:ascii="Cambria Math" w:eastAsia="Calibri" w:hAnsi="Cambria Math"/>
                                <w:sz w:val="18"/>
                                <w:szCs w:val="18"/>
                                <w:lang w:val="de-DE"/>
                              </w:rPr>
                              <m:t>2</m:t>
                            </m:r>
                          </m:sub>
                        </m:sSub>
                        <m:r>
                          <m:rPr>
                            <m:sty m:val="p"/>
                          </m:rPr>
                          <w:rPr>
                            <w:rFonts w:ascii="Cambria Math" w:eastAsia="Calibri" w:hAnsi="Cambria Math"/>
                            <w:sz w:val="18"/>
                            <w:szCs w:val="18"/>
                            <w:lang w:val="de-DE"/>
                          </w:rPr>
                          <m:t>C</m:t>
                        </m:r>
                      </m:e>
                    </m:d>
                  </m:oMath>
                  <w:r w:rsidR="00992A0C" w:rsidRPr="006B2450">
                    <w:rPr>
                      <w:rFonts w:eastAsia="Calibri"/>
                      <w:sz w:val="18"/>
                      <w:szCs w:val="18"/>
                      <w:lang w:val="de-DE"/>
                    </w:rPr>
                    <w:t xml:space="preserve"> if both higher layer parameter </w:t>
                  </w:r>
                  <w:r w:rsidR="00992A0C" w:rsidRPr="006B2450">
                    <w:rPr>
                      <w:rFonts w:eastAsia="SimSun"/>
                      <w:i/>
                      <w:sz w:val="18"/>
                      <w:szCs w:val="18"/>
                      <w:lang w:val="en-GB" w:eastAsia="zh-CN"/>
                    </w:rPr>
                    <w:t>ul-toDL-COT-SharingED-Threshold</w:t>
                  </w:r>
                  <w:r w:rsidR="00992A0C" w:rsidRPr="006B2450">
                    <w:rPr>
                      <w:rFonts w:eastAsia="DengXian"/>
                      <w:sz w:val="18"/>
                      <w:szCs w:val="18"/>
                      <w:lang w:val="en-GB" w:eastAsia="zh-CN"/>
                    </w:rPr>
                    <w:t xml:space="preserve"> and </w:t>
                  </w:r>
                  <w:r w:rsidR="00992A0C" w:rsidRPr="006B2450">
                    <w:rPr>
                      <w:rFonts w:eastAsia="Calibri"/>
                      <w:sz w:val="18"/>
                      <w:szCs w:val="18"/>
                      <w:lang w:val="de-DE"/>
                    </w:rPr>
                    <w:t>higher layer parameter</w:t>
                  </w:r>
                  <w:r w:rsidR="00992A0C" w:rsidRPr="006B2450">
                    <w:rPr>
                      <w:rFonts w:eastAsia="DengXian"/>
                      <w:sz w:val="18"/>
                      <w:szCs w:val="18"/>
                      <w:lang w:val="en-GB" w:eastAsia="zh-CN"/>
                    </w:rPr>
                    <w:t xml:space="preserve"> </w:t>
                  </w:r>
                  <w:r w:rsidR="00992A0C" w:rsidRPr="006B2450">
                    <w:rPr>
                      <w:rFonts w:eastAsia="DengXian"/>
                      <w:i/>
                      <w:sz w:val="18"/>
                      <w:szCs w:val="18"/>
                      <w:lang w:val="en-GB" w:eastAsia="zh-CN"/>
                    </w:rPr>
                    <w:t>cg-COT-SharingList</w:t>
                  </w:r>
                  <w:r w:rsidR="00992A0C" w:rsidRPr="006B2450">
                    <w:rPr>
                      <w:rFonts w:eastAsia="DengXian"/>
                      <w:sz w:val="18"/>
                      <w:szCs w:val="18"/>
                      <w:lang w:val="en-GB" w:eastAsia="zh-CN"/>
                    </w:rPr>
                    <w:t xml:space="preserve"> are configured, </w:t>
                  </w:r>
                  <w:r w:rsidR="00992A0C" w:rsidRPr="006B2450">
                    <w:rPr>
                      <w:rFonts w:eastAsia="SimSun"/>
                      <w:sz w:val="18"/>
                      <w:szCs w:val="18"/>
                      <w:lang w:val="en-GB" w:eastAsia="zh-CN"/>
                    </w:rPr>
                    <w:t>o</w:t>
                  </w:r>
                  <w:r w:rsidR="00992A0C" w:rsidRPr="006B2450">
                    <w:rPr>
                      <w:rFonts w:eastAsia="DengXian"/>
                      <w:sz w:val="18"/>
                      <w:szCs w:val="18"/>
                      <w:lang w:val="en-GB" w:eastAsia="zh-CN"/>
                    </w:rPr>
                    <w:t xml:space="preserve">r </w:t>
                  </w:r>
                  <w:r w:rsidR="00992A0C" w:rsidRPr="006B2450">
                    <w:rPr>
                      <w:rFonts w:eastAsia="DengXian"/>
                      <w:sz w:val="18"/>
                      <w:szCs w:val="18"/>
                      <w:lang w:eastAsia="zh-CN"/>
                    </w:rPr>
                    <w:t>if</w:t>
                  </w:r>
                  <w:r w:rsidR="00992A0C" w:rsidRPr="006B2450">
                    <w:rPr>
                      <w:rFonts w:eastAsia="DengXian"/>
                      <w:sz w:val="18"/>
                      <w:szCs w:val="18"/>
                      <w:lang w:val="en-GB" w:eastAsia="zh-CN"/>
                    </w:rPr>
                    <w:t xml:space="preserve"> both </w:t>
                  </w:r>
                  <w:r w:rsidR="00992A0C" w:rsidRPr="006B2450">
                    <w:rPr>
                      <w:rFonts w:eastAsia="Calibri"/>
                      <w:sz w:val="18"/>
                      <w:szCs w:val="18"/>
                      <w:lang w:val="de-DE"/>
                    </w:rPr>
                    <w:t>higher layer parameter</w:t>
                  </w:r>
                  <w:r w:rsidR="00992A0C" w:rsidRPr="006B2450">
                    <w:rPr>
                      <w:rFonts w:eastAsia="DengXian"/>
                      <w:sz w:val="18"/>
                      <w:szCs w:val="18"/>
                      <w:lang w:val="en-GB" w:eastAsia="zh-CN"/>
                    </w:rPr>
                    <w:t xml:space="preserve"> </w:t>
                  </w:r>
                  <w:r w:rsidR="00992A0C" w:rsidRPr="006B2450">
                    <w:rPr>
                      <w:rFonts w:eastAsia="DengXian"/>
                      <w:i/>
                      <w:sz w:val="18"/>
                      <w:szCs w:val="18"/>
                      <w:lang w:eastAsia="zh-CN"/>
                    </w:rPr>
                    <w:t>ue-SemiStaticChannelAccessConfig</w:t>
                  </w:r>
                  <w:r w:rsidR="00992A0C" w:rsidRPr="006B2450">
                    <w:rPr>
                      <w:rFonts w:eastAsia="DengXian"/>
                      <w:sz w:val="18"/>
                      <w:szCs w:val="18"/>
                      <w:lang w:eastAsia="zh-CN"/>
                    </w:rPr>
                    <w:t xml:space="preserve"> </w:t>
                  </w:r>
                  <w:r w:rsidR="00992A0C" w:rsidRPr="006B2450">
                    <w:rPr>
                      <w:rFonts w:eastAsia="DengXian"/>
                      <w:sz w:val="18"/>
                      <w:szCs w:val="18"/>
                      <w:lang w:val="en-GB" w:eastAsia="zh-CN"/>
                    </w:rPr>
                    <w:t xml:space="preserve">and </w:t>
                  </w:r>
                  <w:r w:rsidR="00992A0C" w:rsidRPr="006B2450">
                    <w:rPr>
                      <w:rFonts w:eastAsia="DengXian"/>
                      <w:sz w:val="18"/>
                      <w:szCs w:val="18"/>
                      <w:lang w:val="de-DE" w:eastAsia="zh-CN"/>
                    </w:rPr>
                    <w:t>higher layer parameter</w:t>
                  </w:r>
                  <w:r w:rsidR="00992A0C" w:rsidRPr="006B2450">
                    <w:rPr>
                      <w:rFonts w:eastAsia="DengXian"/>
                      <w:sz w:val="18"/>
                      <w:szCs w:val="18"/>
                      <w:lang w:val="en-GB" w:eastAsia="zh-CN"/>
                    </w:rPr>
                    <w:t xml:space="preserve"> </w:t>
                  </w:r>
                  <w:r w:rsidR="00992A0C" w:rsidRPr="006B2450">
                    <w:rPr>
                      <w:rFonts w:eastAsia="DengXian"/>
                      <w:i/>
                      <w:sz w:val="18"/>
                      <w:szCs w:val="18"/>
                      <w:lang w:val="en-GB" w:eastAsia="zh-CN"/>
                    </w:rPr>
                    <w:t>cg-COT-SharingList</w:t>
                  </w:r>
                  <w:r w:rsidR="00992A0C" w:rsidRPr="006B2450">
                    <w:rPr>
                      <w:rFonts w:eastAsia="DengXian"/>
                      <w:sz w:val="18"/>
                      <w:szCs w:val="18"/>
                      <w:lang w:val="en-GB" w:eastAsia="zh-CN"/>
                    </w:rPr>
                    <w:t xml:space="preserve"> are configured</w:t>
                  </w:r>
                  <w:r w:rsidR="00992A0C" w:rsidRPr="006B2450">
                    <w:rPr>
                      <w:rFonts w:eastAsia="DengXian"/>
                      <w:sz w:val="18"/>
                      <w:szCs w:val="18"/>
                      <w:lang w:val="en-GB"/>
                    </w:rPr>
                    <w:t xml:space="preserve">, or if higher layer parameter </w:t>
                  </w:r>
                  <w:r w:rsidR="00992A0C" w:rsidRPr="006B2450">
                    <w:rPr>
                      <w:rFonts w:eastAsia="DengXian"/>
                      <w:i/>
                      <w:iCs/>
                      <w:sz w:val="18"/>
                      <w:szCs w:val="18"/>
                      <w:lang w:val="en-GB"/>
                    </w:rPr>
                    <w:t xml:space="preserve">cg-COT-SharingList </w:t>
                  </w:r>
                  <w:r w:rsidR="00992A0C" w:rsidRPr="006B2450">
                    <w:rPr>
                      <w:rFonts w:eastAsia="DengXian"/>
                      <w:sz w:val="18"/>
                      <w:szCs w:val="18"/>
                      <w:lang w:val="en-GB"/>
                    </w:rPr>
                    <w:t>is configured in frequency range 2-2</w:t>
                  </w:r>
                  <w:r w:rsidR="00992A0C" w:rsidRPr="006B2450">
                    <w:rPr>
                      <w:rFonts w:eastAsia="DengXian"/>
                      <w:sz w:val="18"/>
                      <w:szCs w:val="18"/>
                      <w:lang w:val="en-GB" w:eastAsia="zh-CN"/>
                    </w:rPr>
                    <w:t xml:space="preserve">, where </w:t>
                  </w:r>
                  <w:r w:rsidR="00992A0C" w:rsidRPr="006B2450">
                    <w:rPr>
                      <w:rFonts w:eastAsia="Calibri"/>
                      <w:i/>
                      <w:sz w:val="18"/>
                      <w:szCs w:val="18"/>
                      <w:lang w:val="en-GB"/>
                    </w:rPr>
                    <w:t>C</w:t>
                  </w:r>
                  <w:r w:rsidR="00992A0C" w:rsidRPr="006B2450">
                    <w:rPr>
                      <w:rFonts w:eastAsia="Calibri"/>
                      <w:sz w:val="18"/>
                      <w:szCs w:val="18"/>
                      <w:lang w:val="en-GB"/>
                    </w:rPr>
                    <w:t xml:space="preserve"> is the number of combinations configured in </w:t>
                  </w:r>
                  <w:r w:rsidR="00992A0C" w:rsidRPr="006B2450">
                    <w:rPr>
                      <w:rFonts w:eastAsia="DengXian"/>
                      <w:i/>
                      <w:sz w:val="18"/>
                      <w:szCs w:val="18"/>
                      <w:lang w:val="en-GB" w:eastAsia="zh-CN"/>
                    </w:rPr>
                    <w:t xml:space="preserve">cg-COT-SharingList; </w:t>
                  </w:r>
                </w:p>
                <w:p w14:paraId="724989B7" w14:textId="77777777" w:rsidR="00992A0C" w:rsidRPr="006B2450" w:rsidRDefault="00992A0C" w:rsidP="00CB0709">
                  <w:pPr>
                    <w:keepNext/>
                    <w:rPr>
                      <w:rFonts w:eastAsia="DengXian"/>
                      <w:i/>
                      <w:sz w:val="18"/>
                      <w:szCs w:val="18"/>
                      <w:lang w:val="en-GB" w:eastAsia="zh-CN"/>
                    </w:rPr>
                  </w:pPr>
                </w:p>
                <w:p w14:paraId="0A352B8B" w14:textId="77777777" w:rsidR="00992A0C" w:rsidRPr="006B2450" w:rsidRDefault="00992A0C" w:rsidP="00CB0709">
                  <w:pPr>
                    <w:keepNext/>
                    <w:rPr>
                      <w:rFonts w:eastAsia="DengXian"/>
                      <w:sz w:val="18"/>
                      <w:szCs w:val="18"/>
                      <w:lang w:val="en-GB" w:eastAsia="zh-CN"/>
                    </w:rPr>
                  </w:pPr>
                  <w:r w:rsidRPr="006B2450">
                    <w:rPr>
                      <w:rFonts w:eastAsia="Calibri"/>
                      <w:sz w:val="18"/>
                      <w:szCs w:val="18"/>
                      <w:lang w:val="de-DE"/>
                    </w:rPr>
                    <w:t xml:space="preserve">1 if higher layer parameter </w:t>
                  </w:r>
                  <w:r w:rsidRPr="006B2450">
                    <w:rPr>
                      <w:rFonts w:eastAsia="SimSun"/>
                      <w:i/>
                      <w:sz w:val="18"/>
                      <w:szCs w:val="18"/>
                      <w:lang w:val="en-GB" w:eastAsia="zh-CN"/>
                    </w:rPr>
                    <w:t>ul-toDL-COT-SharingED-Threshold</w:t>
                  </w:r>
                  <w:r w:rsidRPr="006B2450">
                    <w:rPr>
                      <w:rFonts w:eastAsia="DengXian"/>
                      <w:sz w:val="18"/>
                      <w:szCs w:val="18"/>
                      <w:lang w:val="en-GB" w:eastAsia="zh-CN"/>
                    </w:rPr>
                    <w:t xml:space="preserve"> is not configured</w:t>
                  </w:r>
                  <w:r w:rsidRPr="006B2450">
                    <w:rPr>
                      <w:rFonts w:eastAsia="SimSun"/>
                      <w:sz w:val="18"/>
                      <w:szCs w:val="18"/>
                      <w:lang w:val="en-GB" w:eastAsia="zh-CN"/>
                    </w:rPr>
                    <w:t xml:space="preserve">, and if </w:t>
                  </w:r>
                  <w:r w:rsidRPr="006B2450">
                    <w:rPr>
                      <w:rFonts w:eastAsia="Calibri"/>
                      <w:sz w:val="18"/>
                      <w:szCs w:val="18"/>
                      <w:lang w:val="de-DE"/>
                    </w:rPr>
                    <w:t>higher layer parameter</w:t>
                  </w:r>
                  <w:r w:rsidRPr="006B2450">
                    <w:rPr>
                      <w:rFonts w:eastAsia="DengXian"/>
                      <w:sz w:val="18"/>
                      <w:szCs w:val="18"/>
                      <w:lang w:val="en-GB" w:eastAsia="zh-CN"/>
                    </w:rPr>
                    <w:t xml:space="preserve"> </w:t>
                  </w:r>
                  <w:r w:rsidRPr="006B2450">
                    <w:rPr>
                      <w:rFonts w:eastAsia="DengXian"/>
                      <w:i/>
                      <w:sz w:val="18"/>
                      <w:szCs w:val="18"/>
                      <w:lang w:eastAsia="zh-CN"/>
                    </w:rPr>
                    <w:t>ue-SemiStaticChannelAccessConfig</w:t>
                  </w:r>
                  <w:r w:rsidRPr="006B2450">
                    <w:rPr>
                      <w:rFonts w:eastAsia="SimSun"/>
                      <w:sz w:val="18"/>
                      <w:szCs w:val="18"/>
                      <w:lang w:val="en-GB" w:eastAsia="zh-CN"/>
                    </w:rPr>
                    <w:t xml:space="preserve"> is not configured,</w:t>
                  </w:r>
                  <w:r w:rsidRPr="006B2450">
                    <w:rPr>
                      <w:rFonts w:eastAsia="DengXian"/>
                      <w:sz w:val="18"/>
                      <w:szCs w:val="18"/>
                      <w:lang w:val="en-GB" w:eastAsia="zh-CN"/>
                    </w:rPr>
                    <w:t xml:space="preserve"> and if </w:t>
                  </w:r>
                  <w:r w:rsidRPr="006B2450">
                    <w:rPr>
                      <w:rFonts w:eastAsia="Calibri"/>
                      <w:sz w:val="18"/>
                      <w:szCs w:val="18"/>
                      <w:lang w:val="de-DE"/>
                    </w:rPr>
                    <w:t>higher layer parameter</w:t>
                  </w:r>
                  <w:r w:rsidRPr="006B2450">
                    <w:rPr>
                      <w:rFonts w:eastAsia="DengXian"/>
                      <w:sz w:val="18"/>
                      <w:szCs w:val="18"/>
                      <w:lang w:val="en-GB" w:eastAsia="zh-CN"/>
                    </w:rPr>
                    <w:t xml:space="preserve"> </w:t>
                  </w:r>
                  <w:r w:rsidRPr="006B2450">
                    <w:rPr>
                      <w:rFonts w:eastAsia="DengXian"/>
                      <w:i/>
                      <w:sz w:val="18"/>
                      <w:szCs w:val="18"/>
                      <w:lang w:val="en-GB" w:eastAsia="zh-CN"/>
                    </w:rPr>
                    <w:t>cg-COT-SharingOffset</w:t>
                  </w:r>
                  <w:r w:rsidRPr="006B2450">
                    <w:rPr>
                      <w:rFonts w:eastAsia="DengXian"/>
                      <w:sz w:val="18"/>
                      <w:szCs w:val="18"/>
                      <w:lang w:val="en-GB" w:eastAsia="zh-CN"/>
                    </w:rPr>
                    <w:t xml:space="preserve"> is configured;</w:t>
                  </w:r>
                </w:p>
                <w:p w14:paraId="34D422ED" w14:textId="77777777" w:rsidR="00992A0C" w:rsidRPr="006B2450" w:rsidRDefault="00992A0C" w:rsidP="00CB0709">
                  <w:pPr>
                    <w:keepNext/>
                    <w:rPr>
                      <w:rFonts w:eastAsia="DengXian"/>
                      <w:sz w:val="18"/>
                      <w:szCs w:val="18"/>
                      <w:lang w:val="en-GB" w:eastAsia="zh-CN"/>
                    </w:rPr>
                  </w:pPr>
                </w:p>
                <w:p w14:paraId="494CB71D" w14:textId="77777777" w:rsidR="00992A0C" w:rsidRPr="006B2450" w:rsidRDefault="00992A0C" w:rsidP="00CB0709">
                  <w:pPr>
                    <w:keepNext/>
                    <w:rPr>
                      <w:rFonts w:eastAsia="SimSun"/>
                      <w:sz w:val="18"/>
                      <w:szCs w:val="18"/>
                      <w:lang w:val="en-GB" w:eastAsia="zh-CN"/>
                    </w:rPr>
                  </w:pPr>
                  <w:r w:rsidRPr="006B2450">
                    <w:rPr>
                      <w:rFonts w:eastAsia="Calibri"/>
                      <w:sz w:val="18"/>
                      <w:szCs w:val="18"/>
                      <w:lang w:val="de-DE"/>
                    </w:rPr>
                    <w:t>0 otherwise</w:t>
                  </w:r>
                  <w:r w:rsidRPr="006B2450">
                    <w:rPr>
                      <w:rFonts w:eastAsia="DengXian"/>
                      <w:sz w:val="18"/>
                      <w:szCs w:val="18"/>
                      <w:lang w:val="en-GB" w:eastAsia="zh-CN"/>
                    </w:rPr>
                    <w:t>;</w:t>
                  </w:r>
                  <w:r w:rsidRPr="006B2450">
                    <w:rPr>
                      <w:rFonts w:eastAsia="SimSun"/>
                      <w:sz w:val="18"/>
                      <w:szCs w:val="18"/>
                      <w:lang w:val="en-GB" w:eastAsia="zh-CN"/>
                    </w:rPr>
                    <w:t xml:space="preserve"> </w:t>
                  </w:r>
                </w:p>
                <w:p w14:paraId="1F19A549" w14:textId="77777777" w:rsidR="00992A0C" w:rsidRPr="006B2450" w:rsidRDefault="00992A0C" w:rsidP="00CB0709">
                  <w:pPr>
                    <w:keepNext/>
                    <w:rPr>
                      <w:rFonts w:eastAsia="SimSun"/>
                      <w:sz w:val="18"/>
                      <w:szCs w:val="18"/>
                      <w:lang w:val="en-GB" w:eastAsia="zh-CN"/>
                    </w:rPr>
                  </w:pPr>
                </w:p>
                <w:p w14:paraId="35E69B84" w14:textId="77777777" w:rsidR="00992A0C" w:rsidRPr="006B2450" w:rsidRDefault="00992A0C" w:rsidP="00CB0709">
                  <w:pPr>
                    <w:keepNext/>
                    <w:rPr>
                      <w:rFonts w:eastAsia="DengXian"/>
                      <w:i/>
                      <w:sz w:val="18"/>
                      <w:szCs w:val="18"/>
                      <w:lang w:val="en-GB" w:eastAsia="zh-CN"/>
                    </w:rPr>
                  </w:pPr>
                  <w:r w:rsidRPr="006B2450">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69319E38" w14:textId="77777777" w:rsidR="00992A0C" w:rsidRDefault="00992A0C" w:rsidP="00CB0709">
            <w:pPr>
              <w:jc w:val="both"/>
              <w:rPr>
                <w:color w:val="000000"/>
              </w:rPr>
            </w:pPr>
            <w:r>
              <w:rPr>
                <w:color w:val="000000"/>
              </w:rPr>
              <w:t>….</w:t>
            </w:r>
          </w:p>
        </w:tc>
      </w:tr>
    </w:tbl>
    <w:p w14:paraId="3851FCF1" w14:textId="77777777" w:rsidR="00992A0C" w:rsidRDefault="00992A0C" w:rsidP="00992A0C">
      <w:pPr>
        <w:jc w:val="both"/>
        <w:rPr>
          <w:color w:val="000000"/>
        </w:rPr>
      </w:pPr>
    </w:p>
    <w:p w14:paraId="0519D812" w14:textId="77777777" w:rsidR="00992A0C" w:rsidRDefault="00992A0C" w:rsidP="00992A0C">
      <w:pPr>
        <w:jc w:val="both"/>
        <w:rPr>
          <w:color w:val="000000"/>
        </w:rPr>
      </w:pPr>
      <w:r>
        <w:rPr>
          <w:color w:val="000000"/>
        </w:rPr>
        <w:t xml:space="preserve">Similarly, R18 CG with multiple transmission occasions can indicate HARQ process ID in an explicit UCI field. However, such approach has potential reliability issues in case the UCI cannot be detected. If network is unable to determine the HARQ process ID, re-transmission grant cannot be assigned. </w:t>
      </w:r>
    </w:p>
    <w:p w14:paraId="77F640D4" w14:textId="77777777" w:rsidR="00992A0C" w:rsidRPr="00587DBF" w:rsidRDefault="00992A0C" w:rsidP="00992A0C">
      <w:pPr>
        <w:jc w:val="both"/>
        <w:rPr>
          <w:color w:val="000000"/>
        </w:rPr>
      </w:pPr>
      <w:r>
        <w:rPr>
          <w:color w:val="000000"/>
        </w:rPr>
        <w:t>Hence, w</w:t>
      </w:r>
      <w:r w:rsidRPr="00587DBF">
        <w:rPr>
          <w:color w:val="000000"/>
        </w:rPr>
        <w:t xml:space="preserve">e propose </w:t>
      </w:r>
      <w:r>
        <w:rPr>
          <w:color w:val="000000"/>
        </w:rPr>
        <w:t xml:space="preserve">to consider formula-based HARQ process ID determination as in Rel-15/Rel-16 CG. The details and potential optimizations (if deemed necessary) should be handled in RAN2. </w:t>
      </w:r>
    </w:p>
    <w:p w14:paraId="5A0A2B4D" w14:textId="77777777" w:rsidR="00992A0C" w:rsidRDefault="00992A0C" w:rsidP="00992A0C">
      <w:pPr>
        <w:jc w:val="both"/>
        <w:rPr>
          <w:b/>
          <w:bCs/>
          <w:color w:val="000000"/>
        </w:rPr>
      </w:pPr>
      <w:r>
        <w:rPr>
          <w:b/>
          <w:bCs/>
          <w:color w:val="000000"/>
        </w:rPr>
        <w:t xml:space="preserve">Proposal 7: HARQ process ID determination for R18 enhanced CG with multiple transmission occasions is based on a formula, as used in Rel-15/Rel-16 CG. </w:t>
      </w:r>
    </w:p>
    <w:p w14:paraId="7F94DA4C" w14:textId="1166C2B1" w:rsidR="00992A0C" w:rsidRPr="00BA4CFF" w:rsidRDefault="00992A0C" w:rsidP="00992A0C">
      <w:pPr>
        <w:jc w:val="both"/>
        <w:rPr>
          <w:color w:val="000000"/>
        </w:rPr>
      </w:pPr>
      <w:r>
        <w:rPr>
          <w:color w:val="000000"/>
        </w:rPr>
        <w:t>We also propose that an LS is sent to RAN2 to ask their views on the feasibility of the existing Rel-15/Rel-16 CG formula for HARQ ID determination</w:t>
      </w:r>
      <w:r w:rsidR="006A4F9C">
        <w:rPr>
          <w:color w:val="000000"/>
        </w:rPr>
        <w:t xml:space="preserve">. If any modification to the formula is needed, this would be in RAN2 scope. </w:t>
      </w:r>
    </w:p>
    <w:p w14:paraId="0C87936B" w14:textId="36BD1432" w:rsidR="00992A0C" w:rsidRDefault="00992A0C" w:rsidP="00992A0C">
      <w:pPr>
        <w:jc w:val="both"/>
        <w:rPr>
          <w:b/>
          <w:bCs/>
          <w:color w:val="000000"/>
        </w:rPr>
      </w:pPr>
      <w:r>
        <w:rPr>
          <w:b/>
          <w:bCs/>
          <w:color w:val="000000"/>
        </w:rPr>
        <w:t xml:space="preserve">Proposal 8: Send an LS to RAN2 to ask about the feasibility of the HARQ ID determination formula for Rel-15/Rel-16 configured grants. </w:t>
      </w:r>
    </w:p>
    <w:p w14:paraId="0EBC9A6F" w14:textId="77777777" w:rsidR="0016036E" w:rsidRDefault="0016036E" w:rsidP="00992A0C">
      <w:pPr>
        <w:jc w:val="both"/>
        <w:rPr>
          <w:b/>
          <w:bCs/>
          <w:color w:val="000000"/>
        </w:rPr>
      </w:pPr>
    </w:p>
    <w:p w14:paraId="174BC2D6" w14:textId="77777777" w:rsidR="00992A0C" w:rsidRPr="00796A71" w:rsidRDefault="00992A0C" w:rsidP="00992A0C">
      <w:pPr>
        <w:pStyle w:val="Heading2"/>
        <w:numPr>
          <w:ilvl w:val="1"/>
          <w:numId w:val="46"/>
        </w:numPr>
        <w:tabs>
          <w:tab w:val="num" w:pos="576"/>
        </w:tabs>
        <w:ind w:left="576" w:hanging="576"/>
      </w:pPr>
      <w:r>
        <w:t xml:space="preserve">Misalignment between XR traffic and CG periodicity </w:t>
      </w:r>
    </w:p>
    <w:p w14:paraId="45428B03" w14:textId="13235A8B" w:rsidR="00575D18" w:rsidRDefault="00992A0C" w:rsidP="00992A0C">
      <w:pPr>
        <w:jc w:val="both"/>
        <w:rPr>
          <w:color w:val="000000"/>
        </w:rPr>
      </w:pPr>
      <w:r w:rsidRPr="00621BD7">
        <w:rPr>
          <w:color w:val="000000"/>
        </w:rPr>
        <w:t xml:space="preserve">Existing </w:t>
      </w:r>
      <w:r>
        <w:rPr>
          <w:color w:val="000000"/>
        </w:rPr>
        <w:t xml:space="preserve">CG configuration parameter </w:t>
      </w:r>
      <w:r w:rsidR="00310D10">
        <w:rPr>
          <w:color w:val="000000"/>
        </w:rPr>
        <w:t>that configures the CG</w:t>
      </w:r>
      <w:r>
        <w:rPr>
          <w:color w:val="000000"/>
        </w:rPr>
        <w:t xml:space="preserve"> periodicity </w:t>
      </w:r>
      <w:r w:rsidR="00310D10">
        <w:rPr>
          <w:color w:val="000000"/>
        </w:rPr>
        <w:t xml:space="preserve">duration </w:t>
      </w:r>
      <w:r>
        <w:rPr>
          <w:color w:val="000000"/>
        </w:rPr>
        <w:t xml:space="preserve">allows </w:t>
      </w:r>
      <w:r w:rsidR="00310D10">
        <w:rPr>
          <w:color w:val="000000"/>
        </w:rPr>
        <w:t xml:space="preserve">most </w:t>
      </w:r>
      <w:r>
        <w:rPr>
          <w:color w:val="000000"/>
        </w:rPr>
        <w:t xml:space="preserve">integer values </w:t>
      </w:r>
      <w:r w:rsidR="00310D10">
        <w:rPr>
          <w:color w:val="000000"/>
        </w:rPr>
        <w:t xml:space="preserve">in terms of </w:t>
      </w:r>
      <w:r>
        <w:rPr>
          <w:color w:val="000000"/>
        </w:rPr>
        <w:t>slot</w:t>
      </w:r>
      <w:r w:rsidR="00310D10">
        <w:rPr>
          <w:color w:val="000000"/>
        </w:rPr>
        <w:t>s</w:t>
      </w:r>
      <w:r>
        <w:rPr>
          <w:color w:val="000000"/>
        </w:rPr>
        <w:t xml:space="preserve">. </w:t>
      </w:r>
      <w:r w:rsidR="00310D10">
        <w:rPr>
          <w:color w:val="000000"/>
        </w:rPr>
        <w:t>For example, possible periodicity values are every integer value and integer-plus-0.5 in ms when the SCS is set to 30 KHz. On the other hand</w:t>
      </w:r>
      <w:r>
        <w:rPr>
          <w:color w:val="000000"/>
        </w:rPr>
        <w:t xml:space="preserve">, UL video frame rate is </w:t>
      </w:r>
      <w:r w:rsidR="00310D10">
        <w:rPr>
          <w:color w:val="000000"/>
        </w:rPr>
        <w:t xml:space="preserve">considered to be </w:t>
      </w:r>
      <w:r>
        <w:rPr>
          <w:color w:val="000000"/>
        </w:rPr>
        <w:t xml:space="preserve">60 frames per second </w:t>
      </w:r>
      <w:r w:rsidR="00310D10">
        <w:rPr>
          <w:color w:val="000000"/>
        </w:rPr>
        <w:t xml:space="preserve">as baseline </w:t>
      </w:r>
      <w:r>
        <w:rPr>
          <w:color w:val="000000"/>
        </w:rPr>
        <w:t xml:space="preserve">[2]. </w:t>
      </w:r>
      <w:r w:rsidR="00575D18">
        <w:rPr>
          <w:color w:val="000000"/>
        </w:rPr>
        <w:t xml:space="preserve">This video frame rate approximately corresponds to a new UL video packet at every 16.667 ms (and +/- jitter). Hence, there will likely to be some time drifting due to the misalignment between XG periodicity and XR UL video traffic periodicity. </w:t>
      </w:r>
    </w:p>
    <w:p w14:paraId="5FE8AB61" w14:textId="68A622F7" w:rsidR="00575D18" w:rsidRPr="00621BD7" w:rsidRDefault="00575D18" w:rsidP="00992A0C">
      <w:pPr>
        <w:jc w:val="both"/>
        <w:rPr>
          <w:color w:val="000000"/>
        </w:rPr>
      </w:pPr>
      <w:r>
        <w:rPr>
          <w:color w:val="000000"/>
        </w:rPr>
        <w:t xml:space="preserve">If zero jitter is assumed, this potential misalignment will cause an increasing time drift (i.e., 0.167ms increase in drift after each XR UL packet arrival due to the periodicity gap between 16.667ms XR UL traffic periodicity and 16.5ms CG periodicity assuming 30KHz SCS) . </w:t>
      </w:r>
    </w:p>
    <w:p w14:paraId="19909362" w14:textId="1A456933" w:rsidR="00992A0C" w:rsidRPr="00621BD7" w:rsidRDefault="00575D18" w:rsidP="00992A0C">
      <w:pPr>
        <w:jc w:val="both"/>
        <w:rPr>
          <w:color w:val="000000"/>
        </w:rPr>
      </w:pPr>
      <w:r>
        <w:rPr>
          <w:color w:val="000000"/>
        </w:rPr>
        <w:t xml:space="preserve">In addition to this potential time drift, there is also potential misalignment due to a mismatch between multiple transmission occasion in a CG period vs. TDD UL slot configuration. Depending on TDD pattern, some CG periodicities may have more UL slots than others, which could cause a further alignment issue against XR UL traffic pattern in time. </w:t>
      </w:r>
      <w:r w:rsidR="009B08A5" w:rsidRPr="009B08A5">
        <w:rPr>
          <w:color w:val="000000"/>
        </w:rPr>
        <w:t xml:space="preserve">See Figure 4 </w:t>
      </w:r>
      <w:r w:rsidR="009B08A5">
        <w:rPr>
          <w:color w:val="000000"/>
        </w:rPr>
        <w:t xml:space="preserve">for an illustration. </w:t>
      </w:r>
    </w:p>
    <w:p w14:paraId="5A72E606" w14:textId="77777777" w:rsidR="00992A0C" w:rsidRDefault="00992A0C" w:rsidP="00992A0C">
      <w:pPr>
        <w:jc w:val="both"/>
        <w:rPr>
          <w:b/>
          <w:bCs/>
          <w:color w:val="000000"/>
        </w:rPr>
      </w:pPr>
    </w:p>
    <w:p w14:paraId="6604F8C9" w14:textId="77777777" w:rsidR="00575D18" w:rsidRDefault="00992A0C" w:rsidP="00575D18">
      <w:pPr>
        <w:keepNext/>
        <w:jc w:val="both"/>
      </w:pPr>
      <w:r w:rsidRPr="00621BD7">
        <w:rPr>
          <w:b/>
          <w:bCs/>
          <w:noProof/>
          <w:color w:val="000000"/>
        </w:rPr>
        <w:lastRenderedPageBreak/>
        <w:drawing>
          <wp:inline distT="0" distB="0" distL="0" distR="0" wp14:anchorId="39AFD06B" wp14:editId="28DB6C45">
            <wp:extent cx="5943600" cy="1376680"/>
            <wp:effectExtent l="0" t="0" r="0" b="0"/>
            <wp:docPr id="16" name="Picture 1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imeline&#10;&#10;Description automatically generated"/>
                    <pic:cNvPicPr/>
                  </pic:nvPicPr>
                  <pic:blipFill>
                    <a:blip r:embed="rId16"/>
                    <a:stretch>
                      <a:fillRect/>
                    </a:stretch>
                  </pic:blipFill>
                  <pic:spPr>
                    <a:xfrm>
                      <a:off x="0" y="0"/>
                      <a:ext cx="5943600" cy="1376680"/>
                    </a:xfrm>
                    <a:prstGeom prst="rect">
                      <a:avLst/>
                    </a:prstGeom>
                  </pic:spPr>
                </pic:pic>
              </a:graphicData>
            </a:graphic>
          </wp:inline>
        </w:drawing>
      </w:r>
    </w:p>
    <w:p w14:paraId="04EF62B4" w14:textId="2C5D1D40" w:rsidR="00992A0C" w:rsidRDefault="00575D18" w:rsidP="00575D18">
      <w:pPr>
        <w:pStyle w:val="Caption"/>
        <w:jc w:val="both"/>
        <w:rPr>
          <w:b w:val="0"/>
          <w:bCs/>
          <w:color w:val="000000"/>
        </w:rPr>
      </w:pPr>
      <w:r>
        <w:t xml:space="preserve">Figure </w:t>
      </w:r>
      <w:fldSimple w:instr=" SEQ Figure \* ARABIC ">
        <w:r>
          <w:rPr>
            <w:noProof/>
          </w:rPr>
          <w:t>4</w:t>
        </w:r>
      </w:fldSimple>
      <w:r>
        <w:t xml:space="preserve"> An example configuration where potential time misalignment between CG periodicity and XR UL video packet </w:t>
      </w:r>
      <w:r w:rsidR="00B2283D">
        <w:t xml:space="preserve">arrival </w:t>
      </w:r>
      <w:r w:rsidR="00B2283D">
        <w:rPr>
          <w:noProof/>
        </w:rPr>
        <w:t>periodicity</w:t>
      </w:r>
      <w:r>
        <w:rPr>
          <w:noProof/>
        </w:rPr>
        <w:t xml:space="preserve"> causes a time drift since legacy CG periodicity configuration only allows integer of slots.</w:t>
      </w:r>
    </w:p>
    <w:p w14:paraId="6EAA43CB" w14:textId="77777777" w:rsidR="00992A0C" w:rsidRPr="009B08A5" w:rsidRDefault="00992A0C" w:rsidP="00992A0C">
      <w:pPr>
        <w:jc w:val="both"/>
        <w:rPr>
          <w:color w:val="000000"/>
        </w:rPr>
      </w:pPr>
    </w:p>
    <w:p w14:paraId="7C3321BC" w14:textId="20FC208C" w:rsidR="00992A0C" w:rsidRDefault="009B08A5" w:rsidP="00992A0C">
      <w:pPr>
        <w:jc w:val="both"/>
        <w:rPr>
          <w:color w:val="000000"/>
        </w:rPr>
      </w:pPr>
      <w:r w:rsidRPr="009B08A5">
        <w:rPr>
          <w:color w:val="000000"/>
        </w:rPr>
        <w:t xml:space="preserve">However, </w:t>
      </w:r>
      <w:r>
        <w:rPr>
          <w:color w:val="000000"/>
        </w:rPr>
        <w:t xml:space="preserve">UL video traffic is also prone to jitter due to potential video encoding delays. </w:t>
      </w:r>
      <w:r w:rsidR="00B2283D">
        <w:rPr>
          <w:color w:val="000000"/>
        </w:rPr>
        <w:t xml:space="preserve">Even if the periodicity values are fully aligned, potentially large amounts of jitter could still cause time misalignment, although ever-increasing time drifting is unlikely to happen as jitter can positive or negative in value. </w:t>
      </w:r>
    </w:p>
    <w:p w14:paraId="50A2157E" w14:textId="65C48BAA" w:rsidR="00992A0C" w:rsidRDefault="00082192" w:rsidP="00992A0C">
      <w:pPr>
        <w:jc w:val="both"/>
        <w:rPr>
          <w:b/>
          <w:bCs/>
          <w:color w:val="000000"/>
        </w:rPr>
      </w:pPr>
      <w:r>
        <w:rPr>
          <w:color w:val="000000"/>
        </w:rPr>
        <w:t xml:space="preserve">Although the described periodicity misalignment is not ideal, it is possible to resolve the time drift by network implementation. If a DCI signaling re-configures CG configuration at every ~50ms-500ms (i.e., depending on the configuration parameter settings; including SCS, TDD pattern, number of CG transmission occasions per period, etc.). </w:t>
      </w:r>
    </w:p>
    <w:p w14:paraId="751F67B3" w14:textId="3CACFFF1" w:rsidR="00992A0C" w:rsidRDefault="00992A0C" w:rsidP="00992A0C">
      <w:pPr>
        <w:jc w:val="both"/>
        <w:rPr>
          <w:b/>
          <w:bCs/>
          <w:color w:val="000000"/>
        </w:rPr>
      </w:pPr>
      <w:r>
        <w:rPr>
          <w:b/>
          <w:i/>
          <w:iCs/>
        </w:rPr>
        <w:t xml:space="preserve">Observation </w:t>
      </w:r>
      <w:r w:rsidR="00EB0E4F">
        <w:rPr>
          <w:b/>
          <w:i/>
          <w:iCs/>
        </w:rPr>
        <w:t>4</w:t>
      </w:r>
      <w:r w:rsidRPr="0093035F">
        <w:rPr>
          <w:b/>
          <w:i/>
          <w:iCs/>
        </w:rPr>
        <w:t xml:space="preserve">: </w:t>
      </w:r>
      <w:r>
        <w:rPr>
          <w:bCs/>
          <w:i/>
          <w:iCs/>
        </w:rPr>
        <w:t xml:space="preserve">Re-configuration by DCI signaling can help reset time drifting issue by network implementation without any specification effort. </w:t>
      </w:r>
    </w:p>
    <w:p w14:paraId="50DA3191" w14:textId="7C460CDE" w:rsidR="00992A0C" w:rsidRPr="006526BE" w:rsidRDefault="00082192" w:rsidP="00992A0C">
      <w:pPr>
        <w:jc w:val="both"/>
        <w:rPr>
          <w:color w:val="000000"/>
        </w:rPr>
      </w:pPr>
      <w:r>
        <w:rPr>
          <w:color w:val="000000"/>
        </w:rPr>
        <w:t xml:space="preserve">Since such infrequent re-configuration via DCI using existing signaling mechanisms does not incur significant overhead, it is best to not have any special treatment for this periodicity misalignment issue. </w:t>
      </w:r>
      <w:r w:rsidR="006526BE" w:rsidRPr="006526BE">
        <w:rPr>
          <w:color w:val="000000"/>
        </w:rPr>
        <w:t>We propose the following:</w:t>
      </w:r>
    </w:p>
    <w:p w14:paraId="04CEC63B" w14:textId="3EED1110" w:rsidR="00BE115F" w:rsidRDefault="00992A0C" w:rsidP="0018097C">
      <w:pPr>
        <w:jc w:val="both"/>
        <w:rPr>
          <w:b/>
          <w:bCs/>
          <w:color w:val="000000"/>
        </w:rPr>
      </w:pPr>
      <w:r>
        <w:rPr>
          <w:b/>
          <w:bCs/>
          <w:color w:val="000000"/>
        </w:rPr>
        <w:t xml:space="preserve">Proposal 9: No special treatment to handle periodicity misalignment. </w:t>
      </w:r>
    </w:p>
    <w:p w14:paraId="27B47BCA" w14:textId="77777777" w:rsidR="0026214D" w:rsidRPr="0018097C" w:rsidRDefault="0026214D" w:rsidP="0018097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667ADF64" w14:textId="4208A25D" w:rsidR="00EB0E4F" w:rsidRPr="00BD2CC5" w:rsidRDefault="00694BB1" w:rsidP="00EB0E4F">
      <w:pPr>
        <w:jc w:val="both"/>
        <w:rPr>
          <w:bCs/>
          <w:i/>
          <w:iCs/>
        </w:rPr>
      </w:pPr>
      <w:r>
        <w:rPr>
          <w:b/>
          <w:i/>
          <w:iCs/>
        </w:rPr>
        <w:t>Observation 1</w:t>
      </w:r>
      <w:r w:rsidRPr="0093035F">
        <w:rPr>
          <w:b/>
          <w:i/>
          <w:iCs/>
        </w:rPr>
        <w:t xml:space="preserve">: </w:t>
      </w:r>
      <w:r>
        <w:rPr>
          <w:bCs/>
          <w:i/>
          <w:iCs/>
        </w:rPr>
        <w:t xml:space="preserve">XR UL video traffic characteristics based on large and varying packet size and strict latency requirements are </w:t>
      </w:r>
      <w:r w:rsidR="00C7642C">
        <w:rPr>
          <w:bCs/>
          <w:i/>
          <w:iCs/>
        </w:rPr>
        <w:t>main</w:t>
      </w:r>
      <w:r>
        <w:rPr>
          <w:bCs/>
          <w:i/>
          <w:iCs/>
        </w:rPr>
        <w:t xml:space="preserve"> reasons </w:t>
      </w:r>
      <w:r w:rsidR="00C7642C">
        <w:rPr>
          <w:bCs/>
          <w:i/>
          <w:iCs/>
        </w:rPr>
        <w:t>for</w:t>
      </w:r>
      <w:r>
        <w:rPr>
          <w:bCs/>
          <w:i/>
          <w:iCs/>
        </w:rPr>
        <w:t xml:space="preserve"> the configured grant enhancement objectives for capacity.</w:t>
      </w:r>
    </w:p>
    <w:p w14:paraId="2CACAE2C" w14:textId="6F61240D" w:rsidR="00EB0E4F" w:rsidRPr="004C109F" w:rsidRDefault="004C109F" w:rsidP="00694BB1">
      <w:pPr>
        <w:jc w:val="both"/>
        <w:rPr>
          <w:bCs/>
          <w:i/>
          <w:iCs/>
        </w:rPr>
      </w:pPr>
      <w:r>
        <w:rPr>
          <w:b/>
          <w:i/>
          <w:iCs/>
        </w:rPr>
        <w:t>Observation 2</w:t>
      </w:r>
      <w:r w:rsidRPr="0093035F">
        <w:rPr>
          <w:b/>
          <w:i/>
          <w:iCs/>
        </w:rPr>
        <w:t xml:space="preserve">: </w:t>
      </w:r>
      <w:r>
        <w:rPr>
          <w:bCs/>
          <w:i/>
          <w:iCs/>
        </w:rPr>
        <w:t xml:space="preserve">Indicating UCI for the unused occasions at every transmission occasion has benefits in cases where large jitter occurs or in some DL-UL patterns in TDD configurations. </w:t>
      </w:r>
    </w:p>
    <w:p w14:paraId="1ECC4C7C" w14:textId="6CA90EE1" w:rsidR="00694BB1" w:rsidRPr="003A158D" w:rsidRDefault="00694BB1" w:rsidP="00694BB1">
      <w:pPr>
        <w:jc w:val="both"/>
        <w:rPr>
          <w:b/>
          <w:bCs/>
          <w:color w:val="000000"/>
        </w:rPr>
      </w:pPr>
      <w:r>
        <w:rPr>
          <w:b/>
          <w:i/>
          <w:iCs/>
        </w:rPr>
        <w:t xml:space="preserve">Observation </w:t>
      </w:r>
      <w:r w:rsidR="00EB0E4F">
        <w:rPr>
          <w:b/>
          <w:i/>
          <w:iCs/>
        </w:rPr>
        <w:t>3</w:t>
      </w:r>
      <w:r w:rsidRPr="0093035F">
        <w:rPr>
          <w:b/>
          <w:i/>
          <w:iCs/>
        </w:rPr>
        <w:t xml:space="preserve">: </w:t>
      </w:r>
      <w:r>
        <w:rPr>
          <w:bCs/>
          <w:i/>
          <w:iCs/>
        </w:rPr>
        <w:t xml:space="preserve">Existing HARQ process ID determination formula in TS38.321 may not work with multiple PUSCH transmission occasions. </w:t>
      </w:r>
    </w:p>
    <w:p w14:paraId="4F8D9B94" w14:textId="6E30D68A" w:rsidR="008A7A45" w:rsidRPr="00EB0E4F" w:rsidRDefault="00EB0E4F" w:rsidP="00EB0E4F">
      <w:pPr>
        <w:jc w:val="both"/>
        <w:rPr>
          <w:b/>
          <w:bCs/>
          <w:color w:val="000000"/>
        </w:rPr>
      </w:pPr>
      <w:r>
        <w:rPr>
          <w:b/>
          <w:i/>
          <w:iCs/>
        </w:rPr>
        <w:t>Observation 4</w:t>
      </w:r>
      <w:r w:rsidRPr="0093035F">
        <w:rPr>
          <w:b/>
          <w:i/>
          <w:iCs/>
        </w:rPr>
        <w:t xml:space="preserve">: </w:t>
      </w:r>
      <w:r>
        <w:rPr>
          <w:bCs/>
          <w:i/>
          <w:iCs/>
        </w:rPr>
        <w:t xml:space="preserve">Re-configuration by DCI signaling can help reset time drifting issue by network implementation without any specification effort. </w:t>
      </w:r>
    </w:p>
    <w:p w14:paraId="30D60AE2" w14:textId="77777777" w:rsidR="00694BB1" w:rsidRDefault="00694BB1" w:rsidP="00572B09">
      <w:pPr>
        <w:snapToGrid w:val="0"/>
        <w:spacing w:after="0"/>
        <w:jc w:val="both"/>
        <w:rPr>
          <w:rFonts w:eastAsia="Yu Mincho"/>
          <w:lang w:eastAsia="zh-CN"/>
        </w:rPr>
      </w:pP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07E087EB" w14:textId="77777777" w:rsidR="00694BB1" w:rsidRDefault="00694BB1" w:rsidP="00694BB1">
      <w:pPr>
        <w:jc w:val="both"/>
        <w:rPr>
          <w:b/>
          <w:bCs/>
          <w:color w:val="000000"/>
        </w:rPr>
      </w:pPr>
      <w:r>
        <w:rPr>
          <w:b/>
          <w:bCs/>
          <w:color w:val="000000"/>
        </w:rPr>
        <w:t>Proposal 1: All PUSCH transmission occasions in a single CG period share the same set of CG parameters (i.e., same number of RBs in frequency-domain, number of symbols, MCS, transform precoder configuration, etc.).</w:t>
      </w:r>
    </w:p>
    <w:p w14:paraId="18C1D829" w14:textId="77777777" w:rsidR="00694BB1" w:rsidRDefault="00694BB1" w:rsidP="00694BB1">
      <w:pPr>
        <w:jc w:val="both"/>
        <w:rPr>
          <w:b/>
          <w:bCs/>
          <w:color w:val="000000"/>
        </w:rPr>
      </w:pPr>
      <w:r>
        <w:rPr>
          <w:b/>
          <w:bCs/>
          <w:color w:val="000000"/>
        </w:rPr>
        <w:t>Proposal 2: A time offset parameter configured semi-statically by the network indicates the time gap between the 1</w:t>
      </w:r>
      <w:r w:rsidRPr="00877C65">
        <w:rPr>
          <w:b/>
          <w:bCs/>
          <w:color w:val="000000"/>
          <w:vertAlign w:val="superscript"/>
        </w:rPr>
        <w:t>st</w:t>
      </w:r>
      <w:r>
        <w:rPr>
          <w:b/>
          <w:bCs/>
          <w:color w:val="000000"/>
        </w:rPr>
        <w:t xml:space="preserve"> and the 2</w:t>
      </w:r>
      <w:r w:rsidRPr="00877C65">
        <w:rPr>
          <w:b/>
          <w:bCs/>
          <w:color w:val="000000"/>
          <w:vertAlign w:val="superscript"/>
        </w:rPr>
        <w:t>nd</w:t>
      </w:r>
      <w:r>
        <w:rPr>
          <w:b/>
          <w:bCs/>
          <w:color w:val="000000"/>
        </w:rPr>
        <w:t xml:space="preserve"> transmission occasions. </w:t>
      </w:r>
    </w:p>
    <w:p w14:paraId="75257C5A" w14:textId="77777777" w:rsidR="00694BB1" w:rsidRDefault="00694BB1" w:rsidP="00694BB1">
      <w:pPr>
        <w:jc w:val="both"/>
        <w:rPr>
          <w:b/>
          <w:bCs/>
          <w:color w:val="000000"/>
        </w:rPr>
      </w:pPr>
      <w:r>
        <w:rPr>
          <w:b/>
          <w:bCs/>
          <w:color w:val="000000"/>
        </w:rPr>
        <w:t>Proposal 3: The rest of the transmission occasions after the initial occasions (i.e., the 2</w:t>
      </w:r>
      <w:r w:rsidRPr="00877C65">
        <w:rPr>
          <w:b/>
          <w:bCs/>
          <w:color w:val="000000"/>
          <w:vertAlign w:val="superscript"/>
        </w:rPr>
        <w:t>nd</w:t>
      </w:r>
      <w:r>
        <w:rPr>
          <w:b/>
          <w:bCs/>
          <w:color w:val="000000"/>
        </w:rPr>
        <w:t>, 3</w:t>
      </w:r>
      <w:r w:rsidRPr="00877C65">
        <w:rPr>
          <w:b/>
          <w:bCs/>
          <w:color w:val="000000"/>
          <w:vertAlign w:val="superscript"/>
        </w:rPr>
        <w:t>rd</w:t>
      </w:r>
      <w:r>
        <w:rPr>
          <w:b/>
          <w:bCs/>
          <w:color w:val="000000"/>
        </w:rPr>
        <w:t>, etc.) are assigned to back-to-back UL slots.</w:t>
      </w:r>
    </w:p>
    <w:p w14:paraId="082B94C6" w14:textId="77777777" w:rsidR="00694BB1" w:rsidRDefault="00694BB1" w:rsidP="00694BB1">
      <w:pPr>
        <w:jc w:val="both"/>
        <w:rPr>
          <w:b/>
          <w:bCs/>
          <w:color w:val="000000"/>
        </w:rPr>
      </w:pPr>
      <w:r>
        <w:rPr>
          <w:b/>
          <w:bCs/>
          <w:color w:val="000000"/>
        </w:rPr>
        <w:t xml:space="preserve">Proposal 4: UCI is multiplexed in PUSCH at every transmission occasion. </w:t>
      </w:r>
    </w:p>
    <w:p w14:paraId="533DE0A9" w14:textId="5F102DB8" w:rsidR="00694BB1" w:rsidRDefault="00694BB1" w:rsidP="00B9170C">
      <w:pPr>
        <w:snapToGrid w:val="0"/>
        <w:jc w:val="both"/>
        <w:rPr>
          <w:b/>
          <w:bCs/>
          <w:color w:val="000000"/>
        </w:rPr>
      </w:pPr>
      <w:r>
        <w:rPr>
          <w:b/>
          <w:bCs/>
          <w:color w:val="000000"/>
        </w:rPr>
        <w:t xml:space="preserve">Proposal 5: </w:t>
      </w:r>
      <w:r w:rsidR="00B911E3">
        <w:rPr>
          <w:b/>
          <w:bCs/>
          <w:color w:val="000000"/>
        </w:rPr>
        <w:t xml:space="preserve">UCI that indicates the unused PUSCH occasions shall re-use </w:t>
      </w:r>
      <w:r w:rsidR="00B911E3" w:rsidRPr="00877C65">
        <w:rPr>
          <w:b/>
          <w:bCs/>
          <w:color w:val="000000"/>
        </w:rPr>
        <w:t xml:space="preserve">the existing CG-UCI </w:t>
      </w:r>
      <w:r w:rsidR="00B911E3">
        <w:rPr>
          <w:b/>
          <w:bCs/>
          <w:color w:val="000000"/>
        </w:rPr>
        <w:t>format</w:t>
      </w:r>
      <w:r w:rsidRPr="00877C65">
        <w:rPr>
          <w:b/>
          <w:bCs/>
          <w:color w:val="000000"/>
        </w:rPr>
        <w:t>.</w:t>
      </w:r>
    </w:p>
    <w:p w14:paraId="54FBDB27" w14:textId="77777777" w:rsidR="00694BB1" w:rsidRDefault="00694BB1" w:rsidP="00694BB1">
      <w:pPr>
        <w:jc w:val="both"/>
        <w:rPr>
          <w:b/>
          <w:bCs/>
          <w:color w:val="000000"/>
        </w:rPr>
      </w:pPr>
      <w:r>
        <w:rPr>
          <w:b/>
          <w:bCs/>
          <w:color w:val="000000"/>
        </w:rPr>
        <w:lastRenderedPageBreak/>
        <w:t>Proposal 6: UCI contains at least one bit field, which indicates the number of additional PUSCH transmission occasions required by the UE, other than the current PUSCH transmission</w:t>
      </w:r>
      <w:r w:rsidRPr="00877C65">
        <w:rPr>
          <w:b/>
          <w:bCs/>
          <w:color w:val="000000"/>
        </w:rPr>
        <w:t xml:space="preserve">. </w:t>
      </w:r>
    </w:p>
    <w:p w14:paraId="475F662F" w14:textId="77777777" w:rsidR="00694BB1" w:rsidRDefault="00694BB1" w:rsidP="00694BB1">
      <w:pPr>
        <w:jc w:val="both"/>
        <w:rPr>
          <w:b/>
          <w:bCs/>
          <w:color w:val="000000"/>
        </w:rPr>
      </w:pPr>
      <w:r>
        <w:rPr>
          <w:b/>
          <w:bCs/>
          <w:color w:val="000000"/>
        </w:rPr>
        <w:t xml:space="preserve">Proposal 7: HARQ process ID determination for R18 enhanced CG with multiple transmission occasions is based on a formula, as used in Rel-15/Rel-16 CG. </w:t>
      </w:r>
    </w:p>
    <w:p w14:paraId="237A0BA1" w14:textId="77777777" w:rsidR="00694BB1" w:rsidRDefault="00694BB1" w:rsidP="00694BB1">
      <w:pPr>
        <w:jc w:val="both"/>
        <w:rPr>
          <w:b/>
          <w:bCs/>
          <w:color w:val="000000"/>
        </w:rPr>
      </w:pPr>
      <w:r>
        <w:rPr>
          <w:b/>
          <w:bCs/>
          <w:color w:val="000000"/>
        </w:rPr>
        <w:t xml:space="preserve">Proposal 8: Send an LS to RAN2 to ask about the feasibility of the HARQ ID determination formula for Rel-15/Rel-16 configured grants. </w:t>
      </w:r>
    </w:p>
    <w:p w14:paraId="23D4EB18" w14:textId="77777777" w:rsidR="00694BB1" w:rsidRDefault="00694BB1" w:rsidP="00694BB1">
      <w:pPr>
        <w:jc w:val="both"/>
        <w:rPr>
          <w:b/>
          <w:bCs/>
          <w:color w:val="000000"/>
        </w:rPr>
      </w:pPr>
      <w:r>
        <w:rPr>
          <w:b/>
          <w:bCs/>
          <w:color w:val="000000"/>
        </w:rPr>
        <w:t xml:space="preserve">Proposal 9: No special treatment to handle periodicity misalignment. </w:t>
      </w:r>
    </w:p>
    <w:p w14:paraId="6567AA44" w14:textId="77777777" w:rsidR="00694BB1" w:rsidRDefault="00694BB1" w:rsidP="00B9170C">
      <w:pPr>
        <w:snapToGrid w:val="0"/>
        <w:jc w:val="both"/>
        <w:rPr>
          <w:rFonts w:eastAsia="Yu Mincho"/>
          <w:lang w:eastAsia="zh-CN"/>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AA644F6" w14:textId="77777777" w:rsidR="00992A0C" w:rsidRDefault="00992A0C" w:rsidP="00992A0C">
      <w:pPr>
        <w:pStyle w:val="ListParagraph"/>
        <w:numPr>
          <w:ilvl w:val="0"/>
          <w:numId w:val="2"/>
        </w:numPr>
        <w:spacing w:after="200" w:line="276" w:lineRule="auto"/>
        <w:contextualSpacing/>
      </w:pPr>
      <w:r w:rsidRPr="006819C8">
        <w:t>RP-223502</w:t>
      </w:r>
      <w:r>
        <w:t>, “</w:t>
      </w:r>
      <w:r w:rsidRPr="006819C8">
        <w:t>New WID: XR Enhancements for NR</w:t>
      </w:r>
      <w:r>
        <w:t>”, Nokia, Qualcomm, December 2022.</w:t>
      </w:r>
    </w:p>
    <w:p w14:paraId="47B067E9" w14:textId="73275316" w:rsidR="00992A0C" w:rsidRDefault="00992A0C" w:rsidP="00CA64FE">
      <w:pPr>
        <w:pStyle w:val="ListParagraph"/>
        <w:numPr>
          <w:ilvl w:val="0"/>
          <w:numId w:val="2"/>
        </w:numPr>
        <w:spacing w:after="200" w:line="276" w:lineRule="auto"/>
        <w:contextualSpacing/>
      </w:pPr>
      <w:r w:rsidRPr="00430B08">
        <w:t>TR 38.838</w:t>
      </w:r>
      <w:r w:rsidR="00CA64FE">
        <w:t>, v17.0.0</w:t>
      </w:r>
      <w:r w:rsidR="008A3228">
        <w:t xml:space="preserve">, </w:t>
      </w:r>
      <w:r w:rsidR="00CA64FE">
        <w:t xml:space="preserve">“Study on XR (Extended Reality) Evaluations for NR (Release 17)”, </w:t>
      </w:r>
      <w:r w:rsidR="00CA64FE" w:rsidRPr="00CA64FE">
        <w:t>2021-12</w:t>
      </w:r>
      <w:r w:rsidR="00CA64FE">
        <w:t>.</w:t>
      </w:r>
    </w:p>
    <w:p w14:paraId="558F3600" w14:textId="0A5AF963" w:rsidR="00992A0C" w:rsidRDefault="00992A0C" w:rsidP="006B7192">
      <w:pPr>
        <w:pStyle w:val="ListParagraph"/>
        <w:numPr>
          <w:ilvl w:val="0"/>
          <w:numId w:val="2"/>
        </w:numPr>
        <w:spacing w:after="200" w:line="276" w:lineRule="auto"/>
        <w:contextualSpacing/>
      </w:pPr>
      <w:r>
        <w:t>TS 38.321</w:t>
      </w:r>
      <w:r w:rsidR="006B7192">
        <w:t xml:space="preserve">, v17.3.0, “Medium Access Control (MAC) protocol specification, (Release 17)”, </w:t>
      </w:r>
      <w:r w:rsidR="006B7192" w:rsidRPr="00CA64FE">
        <w:t>202</w:t>
      </w:r>
      <w:r w:rsidR="006B7192">
        <w:t>2</w:t>
      </w:r>
      <w:r w:rsidR="006B7192" w:rsidRPr="00CA64FE">
        <w:t>-12</w:t>
      </w:r>
      <w:r w:rsidR="006B7192">
        <w:t>.</w:t>
      </w:r>
    </w:p>
    <w:p w14:paraId="51AE40BB" w14:textId="1C397C97" w:rsidR="0048631B" w:rsidRDefault="0048631B" w:rsidP="00AA6E01">
      <w:pPr>
        <w:pStyle w:val="ListParagraph"/>
        <w:numPr>
          <w:ilvl w:val="0"/>
          <w:numId w:val="2"/>
        </w:numPr>
        <w:spacing w:after="200" w:line="276" w:lineRule="auto"/>
        <w:contextualSpacing/>
      </w:pPr>
      <w:r>
        <w:t xml:space="preserve">TS </w:t>
      </w:r>
      <w:r w:rsidR="00D75763">
        <w:t>38.212</w:t>
      </w:r>
      <w:r w:rsidR="00AA6E01">
        <w:t>, v17.4.0, “Multiplexing and channel coding (Release 17)”, 2022-12</w:t>
      </w:r>
      <w:r w:rsidR="007C17F3">
        <w:t>.</w:t>
      </w:r>
    </w:p>
    <w:sectPr w:rsidR="0048631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B7326" w14:textId="77777777" w:rsidR="00AB3EB8" w:rsidRDefault="00AB3EB8">
      <w:r>
        <w:separator/>
      </w:r>
    </w:p>
  </w:endnote>
  <w:endnote w:type="continuationSeparator" w:id="0">
    <w:p w14:paraId="5D64C373" w14:textId="77777777" w:rsidR="00AB3EB8" w:rsidRDefault="00AB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8BD7F" w14:textId="77777777" w:rsidR="00AB3EB8" w:rsidRDefault="00AB3EB8">
      <w:r>
        <w:separator/>
      </w:r>
    </w:p>
  </w:footnote>
  <w:footnote w:type="continuationSeparator" w:id="0">
    <w:p w14:paraId="7907F451" w14:textId="77777777" w:rsidR="00AB3EB8" w:rsidRDefault="00AB3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9D40D2"/>
    <w:multiLevelType w:val="hybridMultilevel"/>
    <w:tmpl w:val="E124B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45936"/>
    <w:multiLevelType w:val="hybridMultilevel"/>
    <w:tmpl w:val="B3E8606E"/>
    <w:lvl w:ilvl="0" w:tplc="03E49B9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D735C"/>
    <w:multiLevelType w:val="multilevel"/>
    <w:tmpl w:val="6C8485AE"/>
    <w:lvl w:ilvl="0">
      <w:start w:val="1"/>
      <w:numFmt w:val="decimal"/>
      <w:lvlText w:val="%1"/>
      <w:lvlJc w:val="left"/>
      <w:pPr>
        <w:tabs>
          <w:tab w:val="num" w:pos="432"/>
        </w:tabs>
        <w:ind w:left="432" w:hanging="432"/>
      </w:pPr>
      <w:rPr>
        <w:rFonts w:hint="default"/>
        <w:lang w:val="en-GB"/>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1"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61B3076"/>
    <w:multiLevelType w:val="hybridMultilevel"/>
    <w:tmpl w:val="583A101A"/>
    <w:lvl w:ilvl="0" w:tplc="92A43E10">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8"/>
  </w:num>
  <w:num w:numId="2" w16cid:durableId="770783937">
    <w:abstractNumId w:val="10"/>
  </w:num>
  <w:num w:numId="3" w16cid:durableId="1241284276">
    <w:abstractNumId w:val="40"/>
  </w:num>
  <w:num w:numId="4" w16cid:durableId="1961178633">
    <w:abstractNumId w:val="24"/>
  </w:num>
  <w:num w:numId="5" w16cid:durableId="1636370996">
    <w:abstractNumId w:val="36"/>
  </w:num>
  <w:num w:numId="6" w16cid:durableId="791367854">
    <w:abstractNumId w:val="12"/>
  </w:num>
  <w:num w:numId="7" w16cid:durableId="402029737">
    <w:abstractNumId w:val="39"/>
  </w:num>
  <w:num w:numId="8" w16cid:durableId="1685129733">
    <w:abstractNumId w:val="4"/>
  </w:num>
  <w:num w:numId="9" w16cid:durableId="1115053937">
    <w:abstractNumId w:val="15"/>
  </w:num>
  <w:num w:numId="10" w16cid:durableId="884215508">
    <w:abstractNumId w:val="43"/>
  </w:num>
  <w:num w:numId="11" w16cid:durableId="1078945869">
    <w:abstractNumId w:val="29"/>
  </w:num>
  <w:num w:numId="12" w16cid:durableId="930164769">
    <w:abstractNumId w:val="35"/>
  </w:num>
  <w:num w:numId="13" w16cid:durableId="443770028">
    <w:abstractNumId w:val="17"/>
  </w:num>
  <w:num w:numId="14" w16cid:durableId="311569556">
    <w:abstractNumId w:val="38"/>
  </w:num>
  <w:num w:numId="15" w16cid:durableId="1319571558">
    <w:abstractNumId w:val="25"/>
  </w:num>
  <w:num w:numId="16" w16cid:durableId="1218469968">
    <w:abstractNumId w:val="5"/>
  </w:num>
  <w:num w:numId="17" w16cid:durableId="662898375">
    <w:abstractNumId w:val="21"/>
  </w:num>
  <w:num w:numId="18" w16cid:durableId="67272076">
    <w:abstractNumId w:val="22"/>
  </w:num>
  <w:num w:numId="19" w16cid:durableId="1288317669">
    <w:abstractNumId w:val="20"/>
  </w:num>
  <w:num w:numId="20" w16cid:durableId="1636331525">
    <w:abstractNumId w:val="1"/>
  </w:num>
  <w:num w:numId="21" w16cid:durableId="833644937">
    <w:abstractNumId w:val="14"/>
  </w:num>
  <w:num w:numId="22" w16cid:durableId="75710353">
    <w:abstractNumId w:val="34"/>
  </w:num>
  <w:num w:numId="23" w16cid:durableId="1324360734">
    <w:abstractNumId w:val="31"/>
  </w:num>
  <w:num w:numId="24" w16cid:durableId="148637371">
    <w:abstractNumId w:val="41"/>
  </w:num>
  <w:num w:numId="25" w16cid:durableId="1708481264">
    <w:abstractNumId w:val="6"/>
  </w:num>
  <w:num w:numId="26" w16cid:durableId="2144763809">
    <w:abstractNumId w:val="23"/>
  </w:num>
  <w:num w:numId="27" w16cid:durableId="43990561">
    <w:abstractNumId w:val="26"/>
  </w:num>
  <w:num w:numId="28" w16cid:durableId="1142229618">
    <w:abstractNumId w:val="3"/>
  </w:num>
  <w:num w:numId="29" w16cid:durableId="659621778">
    <w:abstractNumId w:val="3"/>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8"/>
  </w:num>
  <w:num w:numId="33" w16cid:durableId="1881018296">
    <w:abstractNumId w:val="19"/>
  </w:num>
  <w:num w:numId="34" w16cid:durableId="1242568690">
    <w:abstractNumId w:val="11"/>
  </w:num>
  <w:num w:numId="35" w16cid:durableId="919559658">
    <w:abstractNumId w:val="7"/>
  </w:num>
  <w:num w:numId="36" w16cid:durableId="1341659058">
    <w:abstractNumId w:val="27"/>
  </w:num>
  <w:num w:numId="37" w16cid:durableId="1378318674">
    <w:abstractNumId w:val="2"/>
  </w:num>
  <w:num w:numId="38" w16cid:durableId="1667316291">
    <w:abstractNumId w:val="30"/>
  </w:num>
  <w:num w:numId="39" w16cid:durableId="1627159689">
    <w:abstractNumId w:val="13"/>
  </w:num>
  <w:num w:numId="40" w16cid:durableId="403333760">
    <w:abstractNumId w:val="9"/>
  </w:num>
  <w:num w:numId="41" w16cid:durableId="1567570012">
    <w:abstractNumId w:val="32"/>
  </w:num>
  <w:num w:numId="42" w16cid:durableId="233129139">
    <w:abstractNumId w:val="37"/>
  </w:num>
  <w:num w:numId="43" w16cid:durableId="8025748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1895849">
    <w:abstractNumId w:val="42"/>
  </w:num>
  <w:num w:numId="45" w16cid:durableId="1464273543">
    <w:abstractNumId w:val="8"/>
  </w:num>
  <w:num w:numId="46" w16cid:durableId="102748479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7AA"/>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192"/>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65B"/>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60E8"/>
    <w:rsid w:val="009C6367"/>
    <w:rsid w:val="009C653B"/>
    <w:rsid w:val="009C6D5B"/>
    <w:rsid w:val="009C713D"/>
    <w:rsid w:val="009C7A70"/>
    <w:rsid w:val="009D02D5"/>
    <w:rsid w:val="009D0899"/>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94A"/>
    <w:rsid w:val="00AA7A65"/>
    <w:rsid w:val="00AB0505"/>
    <w:rsid w:val="00AB0F90"/>
    <w:rsid w:val="00AB101A"/>
    <w:rsid w:val="00AB1BB4"/>
    <w:rsid w:val="00AB2424"/>
    <w:rsid w:val="00AB297C"/>
    <w:rsid w:val="00AB2B42"/>
    <w:rsid w:val="00AB3667"/>
    <w:rsid w:val="00AB3EB8"/>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928"/>
    <w:rsid w:val="00ED341A"/>
    <w:rsid w:val="00ED36C3"/>
    <w:rsid w:val="00ED3870"/>
    <w:rsid w:val="00ED42D8"/>
    <w:rsid w:val="00ED47C2"/>
    <w:rsid w:val="00ED4AB9"/>
    <w:rsid w:val="00ED4E32"/>
    <w:rsid w:val="00ED5501"/>
    <w:rsid w:val="00ED56CA"/>
    <w:rsid w:val="00ED72B0"/>
    <w:rsid w:val="00ED748D"/>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09F"/>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43"/>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31552</TotalTime>
  <Pages>1</Pages>
  <Words>2982</Words>
  <Characters>16999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2326</cp:revision>
  <cp:lastPrinted>2017-09-11T17:45:00Z</cp:lastPrinted>
  <dcterms:created xsi:type="dcterms:W3CDTF">2019-04-02T16:59:00Z</dcterms:created>
  <dcterms:modified xsi:type="dcterms:W3CDTF">2023-02-20T11:14:00Z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